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7FDA" w14:textId="77777777" w:rsidR="00797B6C" w:rsidRDefault="00797B6C" w:rsidP="00797B6C">
      <w:pPr>
        <w:jc w:val="center"/>
      </w:pPr>
      <w:r>
        <w:t>A Guide to the MIT Atomic Scale Modeling Toolkit for nanoHUB.org</w:t>
      </w:r>
    </w:p>
    <w:p w14:paraId="1524A544" w14:textId="77777777" w:rsidR="00797B6C" w:rsidRPr="00E45EF1" w:rsidRDefault="00797B6C" w:rsidP="00797B6C">
      <w:pPr>
        <w:jc w:val="center"/>
      </w:pPr>
      <w:r>
        <w:t>Dr. Enrique Guerrero – University of California, Merced</w:t>
      </w:r>
    </w:p>
    <w:p w14:paraId="39E4D7BA" w14:textId="77777777" w:rsidR="00797B6C" w:rsidRDefault="00797B6C" w:rsidP="00797B6C">
      <w:pPr>
        <w:pStyle w:val="ListParagraph"/>
        <w:numPr>
          <w:ilvl w:val="0"/>
          <w:numId w:val="2"/>
        </w:numPr>
        <w:rPr>
          <w:u w:val="single"/>
        </w:rPr>
      </w:pPr>
      <w:r>
        <w:rPr>
          <w:u w:val="single"/>
        </w:rPr>
        <w:t>Introduction</w:t>
      </w:r>
    </w:p>
    <w:p w14:paraId="1B34D2FD" w14:textId="77777777" w:rsidR="00797B6C" w:rsidRDefault="00797B6C" w:rsidP="00797B6C">
      <w:pPr>
        <w:pStyle w:val="ListParagraph"/>
        <w:numPr>
          <w:ilvl w:val="0"/>
          <w:numId w:val="2"/>
        </w:numPr>
        <w:rPr>
          <w:u w:val="single"/>
        </w:rPr>
      </w:pPr>
      <w:r>
        <w:rPr>
          <w:u w:val="single"/>
        </w:rPr>
        <w:t>Getting Started</w:t>
      </w:r>
    </w:p>
    <w:p w14:paraId="548EF446" w14:textId="09CC6833" w:rsidR="00797B6C" w:rsidRDefault="002A6C1E" w:rsidP="00797B6C">
      <w:pPr>
        <w:pStyle w:val="ListParagraph"/>
        <w:numPr>
          <w:ilvl w:val="0"/>
          <w:numId w:val="2"/>
        </w:numPr>
        <w:rPr>
          <w:u w:val="single"/>
        </w:rPr>
      </w:pPr>
      <w:r>
        <w:rPr>
          <w:u w:val="single"/>
        </w:rPr>
        <w:t>Classical Molecular Dynamics: Lennard-Jones</w:t>
      </w:r>
    </w:p>
    <w:p w14:paraId="01C61238" w14:textId="3D9BD3EE" w:rsidR="002A6C1E" w:rsidRDefault="002A6C1E" w:rsidP="00797B6C">
      <w:pPr>
        <w:pStyle w:val="ListParagraph"/>
        <w:numPr>
          <w:ilvl w:val="0"/>
          <w:numId w:val="2"/>
        </w:numPr>
        <w:rPr>
          <w:u w:val="single"/>
        </w:rPr>
      </w:pPr>
      <w:r>
        <w:rPr>
          <w:u w:val="single"/>
        </w:rPr>
        <w:t>Classical Molecular Dynamics: Carbon Nanotube</w:t>
      </w:r>
    </w:p>
    <w:p w14:paraId="0B3DFC65" w14:textId="3BA0FE78" w:rsidR="00797B6C" w:rsidRDefault="002A6C1E" w:rsidP="00797B6C">
      <w:pPr>
        <w:pStyle w:val="ListParagraph"/>
        <w:numPr>
          <w:ilvl w:val="0"/>
          <w:numId w:val="2"/>
        </w:numPr>
        <w:rPr>
          <w:u w:val="single"/>
        </w:rPr>
      </w:pPr>
      <w:r>
        <w:rPr>
          <w:u w:val="single"/>
        </w:rPr>
        <w:t>Revisiting Quantum ESPRESSO: Phonons</w:t>
      </w:r>
    </w:p>
    <w:p w14:paraId="0208BEFE" w14:textId="7BC50C07" w:rsidR="00797B6C" w:rsidRDefault="002A6C1E" w:rsidP="00797B6C">
      <w:pPr>
        <w:pStyle w:val="ListParagraph"/>
        <w:numPr>
          <w:ilvl w:val="0"/>
          <w:numId w:val="2"/>
        </w:numPr>
        <w:rPr>
          <w:u w:val="single"/>
        </w:rPr>
      </w:pPr>
      <w:r>
        <w:rPr>
          <w:u w:val="single"/>
        </w:rPr>
        <w:t>Classical Monte Carlo</w:t>
      </w:r>
    </w:p>
    <w:p w14:paraId="2493D391" w14:textId="77777777" w:rsidR="00797B6C" w:rsidRDefault="00797B6C" w:rsidP="00797B6C">
      <w:pPr>
        <w:rPr>
          <w:u w:val="single"/>
        </w:rPr>
      </w:pPr>
    </w:p>
    <w:p w14:paraId="56282B7B" w14:textId="77777777" w:rsidR="00797B6C" w:rsidRPr="005C380B" w:rsidRDefault="00797B6C" w:rsidP="00797B6C">
      <w:pPr>
        <w:pStyle w:val="ListParagraph"/>
        <w:numPr>
          <w:ilvl w:val="0"/>
          <w:numId w:val="1"/>
        </w:numPr>
        <w:rPr>
          <w:b/>
          <w:bCs/>
        </w:rPr>
      </w:pPr>
      <w:r w:rsidRPr="005C380B">
        <w:rPr>
          <w:b/>
          <w:bCs/>
          <w:u w:val="single"/>
        </w:rPr>
        <w:t>Introduction</w:t>
      </w:r>
    </w:p>
    <w:p w14:paraId="5E18FB4D" w14:textId="1329D1A0" w:rsidR="00797B6C" w:rsidRDefault="00797B6C" w:rsidP="00797B6C">
      <w:pPr>
        <w:shd w:val="clear" w:color="auto" w:fill="FFFFFF"/>
        <w:spacing w:after="0" w:line="240" w:lineRule="auto"/>
        <w:rPr>
          <w:rFonts w:ascii="Calibri" w:eastAsia="Times New Roman" w:hAnsi="Calibri" w:cs="Calibri"/>
          <w:color w:val="000000"/>
        </w:rPr>
      </w:pPr>
      <w:r>
        <w:t>This document is a guide to</w:t>
      </w:r>
      <w:r w:rsidR="0007369D">
        <w:t xml:space="preserve"> using</w:t>
      </w:r>
      <w:r>
        <w:t xml:space="preserve"> the </w:t>
      </w:r>
      <w:r w:rsidR="0007369D">
        <w:t xml:space="preserve">MIT Atomic Scale Modeling Toolkit </w:t>
      </w:r>
      <w:r>
        <w:t xml:space="preserve">found at </w:t>
      </w:r>
      <w:hyperlink r:id="rId5" w:history="1">
        <w:r w:rsidRPr="00F41E4F">
          <w:rPr>
            <w:rStyle w:val="Hyperlink"/>
          </w:rPr>
          <w:t>https://nanohub.org/resources/ucb_compnano</w:t>
        </w:r>
      </w:hyperlink>
      <w:r>
        <w:t xml:space="preserve"> . </w:t>
      </w:r>
      <w:r>
        <w:rPr>
          <w:rFonts w:ascii="Calibri" w:eastAsia="Times New Roman" w:hAnsi="Calibri" w:cs="Calibri"/>
          <w:color w:val="000000"/>
        </w:rPr>
        <w:t xml:space="preserve"> The guide was designed to be presented as part II</w:t>
      </w:r>
      <w:r w:rsidR="0007369D">
        <w:rPr>
          <w:rFonts w:ascii="Calibri" w:eastAsia="Times New Roman" w:hAnsi="Calibri" w:cs="Calibri"/>
          <w:color w:val="000000"/>
        </w:rPr>
        <w:t>I</w:t>
      </w:r>
      <w:r>
        <w:rPr>
          <w:rFonts w:ascii="Calibri" w:eastAsia="Times New Roman" w:hAnsi="Calibri" w:cs="Calibri"/>
          <w:color w:val="000000"/>
        </w:rPr>
        <w:t xml:space="preserve"> of the nanoHUB seminar “</w:t>
      </w:r>
      <w:r w:rsidRPr="00C87D38">
        <w:rPr>
          <w:rFonts w:ascii="Calibri" w:eastAsia="Times New Roman" w:hAnsi="Calibri" w:cs="Calibri"/>
          <w:color w:val="000000"/>
        </w:rPr>
        <w:t>A condensed matter physics class and a Course-based Undergraduate Research Experience (CURE) with the MIT Atomic-Scale Modeling Toolkit</w:t>
      </w:r>
      <w:r w:rsidR="0007369D">
        <w:rPr>
          <w:rFonts w:ascii="Calibri" w:eastAsia="Times New Roman" w:hAnsi="Calibri" w:cs="Calibri"/>
          <w:color w:val="000000"/>
        </w:rPr>
        <w:t>.</w:t>
      </w:r>
      <w:r>
        <w:rPr>
          <w:rFonts w:ascii="Calibri" w:eastAsia="Times New Roman" w:hAnsi="Calibri" w:cs="Calibri"/>
          <w:color w:val="000000"/>
        </w:rPr>
        <w:t xml:space="preserve">” </w:t>
      </w:r>
      <w:r w:rsidRPr="00407DB7">
        <w:rPr>
          <w:rFonts w:ascii="Calibri" w:eastAsia="Times New Roman" w:hAnsi="Calibri" w:cs="Calibri"/>
          <w:color w:val="000000"/>
        </w:rPr>
        <w:t xml:space="preserve">This module has been used to aid in teaching condensed matter physics and </w:t>
      </w:r>
      <w:r>
        <w:rPr>
          <w:rFonts w:ascii="Calibri" w:eastAsia="Times New Roman" w:hAnsi="Calibri" w:cs="Calibri"/>
          <w:color w:val="000000"/>
        </w:rPr>
        <w:t>can be</w:t>
      </w:r>
      <w:r w:rsidRPr="00407DB7">
        <w:rPr>
          <w:rFonts w:ascii="Calibri" w:eastAsia="Times New Roman" w:hAnsi="Calibri" w:cs="Calibri"/>
          <w:color w:val="000000"/>
        </w:rPr>
        <w:t xml:space="preserve"> used as a pedagogical tool in a range of courses including density functional theory, materials physics, computational physics, or similar courses. </w:t>
      </w:r>
      <w:r w:rsidR="00406449">
        <w:rPr>
          <w:rFonts w:ascii="Calibri" w:eastAsia="Times New Roman" w:hAnsi="Calibri" w:cs="Calibri"/>
          <w:color w:val="000000"/>
        </w:rPr>
        <w:t xml:space="preserve">The interface is intended to allow students without computational research experience to run molecular simulations. For many of the input parameters, mousing over the text reveals a description of the input’s purpose. </w:t>
      </w:r>
    </w:p>
    <w:p w14:paraId="465B9056" w14:textId="41BD0956" w:rsidR="00F06453" w:rsidRDefault="00F06453" w:rsidP="00797B6C">
      <w:pPr>
        <w:shd w:val="clear" w:color="auto" w:fill="FFFFFF"/>
        <w:spacing w:after="0" w:line="240" w:lineRule="auto"/>
        <w:rPr>
          <w:rFonts w:ascii="Calibri" w:eastAsia="Times New Roman" w:hAnsi="Calibri" w:cs="Calibri"/>
          <w:color w:val="000000"/>
        </w:rPr>
      </w:pPr>
    </w:p>
    <w:p w14:paraId="0C1BF6C5" w14:textId="19D0FF90" w:rsidR="00F06453" w:rsidRDefault="00F06453" w:rsidP="00797B6C">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 xml:space="preserve">The current </w:t>
      </w:r>
      <w:r w:rsidR="00DB4B81">
        <w:rPr>
          <w:rFonts w:ascii="Calibri" w:eastAsia="Times New Roman" w:hAnsi="Calibri" w:cs="Calibri"/>
          <w:color w:val="000000"/>
        </w:rPr>
        <w:t>suite</w:t>
      </w:r>
      <w:r>
        <w:rPr>
          <w:rFonts w:ascii="Calibri" w:eastAsia="Times New Roman" w:hAnsi="Calibri" w:cs="Calibri"/>
          <w:color w:val="000000"/>
        </w:rPr>
        <w:t xml:space="preserve"> of available applications includes the following</w:t>
      </w:r>
      <w:r w:rsidR="00550BCB">
        <w:rPr>
          <w:rFonts w:ascii="Calibri" w:eastAsia="Times New Roman" w:hAnsi="Calibri" w:cs="Calibri"/>
          <w:color w:val="000000"/>
        </w:rPr>
        <w:t xml:space="preserve"> (underlined objects are covered in this tutorial)</w:t>
      </w:r>
      <w:r>
        <w:rPr>
          <w:rFonts w:ascii="Calibri" w:eastAsia="Times New Roman" w:hAnsi="Calibri" w:cs="Calibri"/>
          <w:color w:val="000000"/>
        </w:rPr>
        <w:t>:</w:t>
      </w:r>
    </w:p>
    <w:p w14:paraId="7EB570BB" w14:textId="7D9689F2" w:rsidR="00F06453" w:rsidRDefault="00F06453" w:rsidP="00F06453">
      <w:pPr>
        <w:pStyle w:val="ListParagraph"/>
        <w:numPr>
          <w:ilvl w:val="0"/>
          <w:numId w:val="7"/>
        </w:numPr>
        <w:shd w:val="clear" w:color="auto" w:fill="FFFFFF"/>
        <w:spacing w:after="0" w:line="240" w:lineRule="auto"/>
        <w:rPr>
          <w:rFonts w:ascii="Calibri" w:eastAsia="Times New Roman" w:hAnsi="Calibri" w:cs="Calibri"/>
          <w:color w:val="000000"/>
        </w:rPr>
      </w:pPr>
      <w:r w:rsidRPr="005D685F">
        <w:rPr>
          <w:rFonts w:ascii="Calibri" w:eastAsia="Times New Roman" w:hAnsi="Calibri" w:cs="Calibri"/>
          <w:b/>
          <w:bCs/>
          <w:color w:val="000000"/>
        </w:rPr>
        <w:t>Averages and Error Bars</w:t>
      </w:r>
      <w:r>
        <w:rPr>
          <w:rFonts w:ascii="Calibri" w:eastAsia="Times New Roman" w:hAnsi="Calibri" w:cs="Calibri"/>
          <w:color w:val="000000"/>
        </w:rPr>
        <w:t xml:space="preserve">: a tool for simple statistical analysis and comparison. One or more two-coordinate data sets can be input, then </w:t>
      </w:r>
      <w:r w:rsidR="005D685F">
        <w:rPr>
          <w:rFonts w:ascii="Calibri" w:eastAsia="Times New Roman" w:hAnsi="Calibri" w:cs="Calibri"/>
          <w:color w:val="000000"/>
        </w:rPr>
        <w:t xml:space="preserve">their mean, standard error of the mean, standard error of the standard error, and autocorrelation are computed. </w:t>
      </w:r>
    </w:p>
    <w:p w14:paraId="606499F3" w14:textId="1F030F59" w:rsidR="00550BCB" w:rsidRDefault="005D685F" w:rsidP="00550BCB">
      <w:pPr>
        <w:pStyle w:val="ListParagraph"/>
        <w:numPr>
          <w:ilvl w:val="0"/>
          <w:numId w:val="7"/>
        </w:numPr>
        <w:shd w:val="clear" w:color="auto" w:fill="FFFFFF"/>
        <w:spacing w:after="0" w:line="240" w:lineRule="auto"/>
        <w:rPr>
          <w:rFonts w:ascii="Calibri" w:eastAsia="Times New Roman" w:hAnsi="Calibri" w:cs="Calibri"/>
          <w:color w:val="000000"/>
        </w:rPr>
      </w:pPr>
      <w:r>
        <w:rPr>
          <w:rFonts w:ascii="Calibri" w:eastAsia="Times New Roman" w:hAnsi="Calibri" w:cs="Calibri"/>
          <w:b/>
          <w:bCs/>
          <w:color w:val="000000"/>
          <w:u w:val="single"/>
        </w:rPr>
        <w:t>Molecular Dynamics (Lennard-Jones)</w:t>
      </w:r>
      <w:r w:rsidRPr="005D685F">
        <w:rPr>
          <w:rFonts w:ascii="Calibri" w:eastAsia="Times New Roman" w:hAnsi="Calibri" w:cs="Calibri"/>
          <w:color w:val="000000"/>
        </w:rPr>
        <w:t>: a</w:t>
      </w:r>
      <w:r>
        <w:rPr>
          <w:rFonts w:ascii="Calibri" w:eastAsia="Times New Roman" w:hAnsi="Calibri" w:cs="Calibri"/>
          <w:color w:val="000000"/>
        </w:rPr>
        <w:t xml:space="preserve">n interface with LAMMPS </w:t>
      </w:r>
      <w:r w:rsidR="00DB4B81">
        <w:rPr>
          <w:rFonts w:ascii="Calibri" w:eastAsia="Times New Roman" w:hAnsi="Calibri" w:cs="Calibri"/>
          <w:color w:val="000000"/>
        </w:rPr>
        <w:t>(</w:t>
      </w:r>
      <w:r w:rsidR="00DB4B81">
        <w:rPr>
          <w:rFonts w:eastAsiaTheme="minorEastAsia"/>
          <w:i/>
          <w:iCs/>
        </w:rPr>
        <w:t xml:space="preserve"> </w:t>
      </w:r>
      <w:hyperlink r:id="rId6" w:history="1">
        <w:r w:rsidR="00DB4B81" w:rsidRPr="005B6C50">
          <w:rPr>
            <w:rStyle w:val="Hyperlink"/>
            <w:rFonts w:eastAsiaTheme="minorEastAsia"/>
            <w:i/>
            <w:iCs/>
          </w:rPr>
          <w:t>https://lammps.org</w:t>
        </w:r>
      </w:hyperlink>
      <w:r w:rsidR="00DB4B81">
        <w:rPr>
          <w:rFonts w:ascii="Calibri" w:eastAsia="Times New Roman" w:hAnsi="Calibri" w:cs="Calibri"/>
          <w:color w:val="000000"/>
        </w:rPr>
        <w:t xml:space="preserve"> ) </w:t>
      </w:r>
      <w:r>
        <w:rPr>
          <w:rFonts w:ascii="Calibri" w:eastAsia="Times New Roman" w:hAnsi="Calibri" w:cs="Calibri"/>
          <w:color w:val="000000"/>
        </w:rPr>
        <w:t>that uses the simplistic Lennard-Jones potential.</w:t>
      </w:r>
    </w:p>
    <w:p w14:paraId="421E20B3" w14:textId="01613C66" w:rsidR="00550BCB" w:rsidRDefault="00550BCB" w:rsidP="00550BCB">
      <w:pPr>
        <w:pStyle w:val="ListParagraph"/>
        <w:numPr>
          <w:ilvl w:val="0"/>
          <w:numId w:val="7"/>
        </w:numPr>
        <w:shd w:val="clear" w:color="auto" w:fill="FFFFFF"/>
        <w:spacing w:after="0" w:line="240" w:lineRule="auto"/>
        <w:rPr>
          <w:rFonts w:ascii="Calibri" w:eastAsia="Times New Roman" w:hAnsi="Calibri" w:cs="Calibri"/>
          <w:color w:val="000000"/>
        </w:rPr>
      </w:pPr>
      <w:r>
        <w:rPr>
          <w:rFonts w:ascii="Calibri" w:eastAsia="Times New Roman" w:hAnsi="Calibri" w:cs="Calibri"/>
          <w:b/>
          <w:bCs/>
          <w:color w:val="000000"/>
          <w:u w:val="single"/>
        </w:rPr>
        <w:t>Molecular Dynamics (Carbon Nanostructures and More)</w:t>
      </w:r>
      <w:r>
        <w:rPr>
          <w:rFonts w:ascii="Calibri" w:eastAsia="Times New Roman" w:hAnsi="Calibri" w:cs="Calibri"/>
          <w:color w:val="000000"/>
        </w:rPr>
        <w:t>: another LAMMPS interface better suited for Carbon systems.</w:t>
      </w:r>
    </w:p>
    <w:p w14:paraId="6AC9064F" w14:textId="7B5AFAF4" w:rsidR="00550BCB" w:rsidRDefault="00550BCB" w:rsidP="00550BCB">
      <w:pPr>
        <w:pStyle w:val="ListParagraph"/>
        <w:numPr>
          <w:ilvl w:val="0"/>
          <w:numId w:val="7"/>
        </w:numPr>
        <w:shd w:val="clear" w:color="auto" w:fill="FFFFFF"/>
        <w:spacing w:after="0" w:line="240" w:lineRule="auto"/>
        <w:rPr>
          <w:rFonts w:ascii="Calibri" w:eastAsia="Times New Roman" w:hAnsi="Calibri" w:cs="Calibri"/>
          <w:color w:val="000000"/>
        </w:rPr>
      </w:pPr>
      <w:r w:rsidRPr="00550BCB">
        <w:rPr>
          <w:rFonts w:ascii="Calibri" w:eastAsia="Times New Roman" w:hAnsi="Calibri" w:cs="Calibri"/>
          <w:color w:val="000000"/>
        </w:rPr>
        <w:t>Monte Carlo (Hard Sphere):</w:t>
      </w:r>
      <w:r>
        <w:rPr>
          <w:rFonts w:ascii="Calibri" w:eastAsia="Times New Roman" w:hAnsi="Calibri" w:cs="Calibri"/>
          <w:color w:val="000000"/>
        </w:rPr>
        <w:t xml:space="preserve"> a Metropolis Monte Carlo simulation where atoms only interact when within a certain radius.</w:t>
      </w:r>
    </w:p>
    <w:p w14:paraId="1C2039B9" w14:textId="77777777" w:rsidR="00550BCB" w:rsidRDefault="00550BCB" w:rsidP="00550BCB">
      <w:pPr>
        <w:pStyle w:val="ListParagraph"/>
        <w:numPr>
          <w:ilvl w:val="0"/>
          <w:numId w:val="7"/>
        </w:numPr>
        <w:shd w:val="clear" w:color="auto" w:fill="FFFFFF"/>
        <w:spacing w:after="0" w:line="240" w:lineRule="auto"/>
        <w:rPr>
          <w:rFonts w:ascii="Calibri" w:eastAsia="Times New Roman" w:hAnsi="Calibri" w:cs="Calibri"/>
          <w:color w:val="000000"/>
        </w:rPr>
      </w:pPr>
      <w:r>
        <w:rPr>
          <w:rFonts w:ascii="Calibri" w:eastAsia="Times New Roman" w:hAnsi="Calibri" w:cs="Calibri"/>
          <w:b/>
          <w:bCs/>
          <w:color w:val="000000"/>
          <w:u w:val="single"/>
        </w:rPr>
        <w:t>Monte Carlo (Ising Model)</w:t>
      </w:r>
      <w:r>
        <w:rPr>
          <w:rFonts w:ascii="Calibri" w:eastAsia="Times New Roman" w:hAnsi="Calibri" w:cs="Calibri"/>
          <w:color w:val="000000"/>
        </w:rPr>
        <w:t>: an implementation of the Ising model in 3D which allows the user to control the size, interaction strength, and external field.</w:t>
      </w:r>
    </w:p>
    <w:p w14:paraId="0A56B98C" w14:textId="7D3A1D69" w:rsidR="00550BCB" w:rsidRDefault="00550BCB" w:rsidP="00550BCB">
      <w:pPr>
        <w:pStyle w:val="ListParagraph"/>
        <w:numPr>
          <w:ilvl w:val="0"/>
          <w:numId w:val="7"/>
        </w:numPr>
        <w:shd w:val="clear" w:color="auto" w:fill="FFFFFF"/>
        <w:spacing w:after="0" w:line="240" w:lineRule="auto"/>
        <w:rPr>
          <w:rFonts w:ascii="Calibri" w:eastAsia="Times New Roman" w:hAnsi="Calibri" w:cs="Calibri"/>
          <w:color w:val="000000"/>
        </w:rPr>
      </w:pPr>
      <w:r w:rsidRPr="00550BCB">
        <w:rPr>
          <w:rFonts w:ascii="Calibri" w:eastAsia="Times New Roman" w:hAnsi="Calibri" w:cs="Calibri"/>
          <w:color w:val="000000"/>
        </w:rPr>
        <w:t>Quantum Chemistry</w:t>
      </w:r>
      <w:r>
        <w:rPr>
          <w:rFonts w:ascii="Calibri" w:eastAsia="Times New Roman" w:hAnsi="Calibri" w:cs="Calibri"/>
          <w:color w:val="000000"/>
        </w:rPr>
        <w:t xml:space="preserve"> (GAMESS):</w:t>
      </w:r>
      <w:r w:rsidRPr="00550BCB">
        <w:rPr>
          <w:rFonts w:ascii="Calibri" w:eastAsia="Times New Roman" w:hAnsi="Calibri" w:cs="Calibri"/>
          <w:color w:val="000000"/>
        </w:rPr>
        <w:t xml:space="preserve"> </w:t>
      </w:r>
      <w:r>
        <w:rPr>
          <w:rFonts w:ascii="Calibri" w:eastAsia="Times New Roman" w:hAnsi="Calibri" w:cs="Calibri"/>
          <w:color w:val="000000"/>
        </w:rPr>
        <w:t xml:space="preserve">an </w:t>
      </w:r>
      <w:proofErr w:type="spellStart"/>
      <w:r>
        <w:rPr>
          <w:rFonts w:ascii="Calibri" w:eastAsia="Times New Roman" w:hAnsi="Calibri" w:cs="Calibri"/>
          <w:color w:val="000000"/>
        </w:rPr>
        <w:t>interfacefor</w:t>
      </w:r>
      <w:proofErr w:type="spellEnd"/>
      <w:r>
        <w:rPr>
          <w:rFonts w:ascii="Calibri" w:eastAsia="Times New Roman" w:hAnsi="Calibri" w:cs="Calibri"/>
          <w:color w:val="000000"/>
        </w:rPr>
        <w:t xml:space="preserve"> GAMESS an </w:t>
      </w:r>
      <w:r>
        <w:rPr>
          <w:rFonts w:ascii="Calibri" w:eastAsia="Times New Roman" w:hAnsi="Calibri" w:cs="Calibri"/>
          <w:i/>
          <w:iCs/>
          <w:color w:val="000000"/>
        </w:rPr>
        <w:t>ab initio</w:t>
      </w:r>
      <w:r>
        <w:rPr>
          <w:rFonts w:ascii="Calibri" w:eastAsia="Times New Roman" w:hAnsi="Calibri" w:cs="Calibri"/>
          <w:color w:val="000000"/>
        </w:rPr>
        <w:t xml:space="preserve"> molecular quantum chemistry code </w:t>
      </w:r>
      <w:r w:rsidR="00DB4B81">
        <w:rPr>
          <w:rFonts w:ascii="Calibri" w:eastAsia="Times New Roman" w:hAnsi="Calibri" w:cs="Calibri"/>
          <w:color w:val="000000"/>
        </w:rPr>
        <w:t xml:space="preserve">( </w:t>
      </w:r>
      <w:hyperlink r:id="rId7" w:history="1">
        <w:r w:rsidR="00DB4B81" w:rsidRPr="005B6C50">
          <w:rPr>
            <w:rStyle w:val="Hyperlink"/>
            <w:rFonts w:ascii="Calibri" w:eastAsia="Times New Roman" w:hAnsi="Calibri" w:cs="Calibri"/>
          </w:rPr>
          <w:t>https://www.msg.chem.iastate.edu/gamess/capabilities.html</w:t>
        </w:r>
      </w:hyperlink>
      <w:r w:rsidR="00DB4B81">
        <w:rPr>
          <w:rFonts w:ascii="Calibri" w:eastAsia="Times New Roman" w:hAnsi="Calibri" w:cs="Calibri"/>
          <w:color w:val="000000"/>
        </w:rPr>
        <w:t xml:space="preserve"> )</w:t>
      </w:r>
    </w:p>
    <w:p w14:paraId="39874F17" w14:textId="28D7D516" w:rsidR="00DB4B81" w:rsidRPr="00DB4B81" w:rsidRDefault="00DB4B81" w:rsidP="00550BCB">
      <w:pPr>
        <w:pStyle w:val="ListParagraph"/>
        <w:numPr>
          <w:ilvl w:val="0"/>
          <w:numId w:val="7"/>
        </w:numPr>
        <w:shd w:val="clear" w:color="auto" w:fill="FFFFFF"/>
        <w:spacing w:after="0" w:line="240" w:lineRule="auto"/>
        <w:rPr>
          <w:rStyle w:val="Hyperlink"/>
          <w:rFonts w:ascii="Calibri" w:eastAsia="Times New Roman" w:hAnsi="Calibri" w:cs="Calibri"/>
          <w:color w:val="000000"/>
          <w:u w:val="none"/>
        </w:rPr>
      </w:pPr>
      <w:r>
        <w:rPr>
          <w:rFonts w:ascii="Calibri" w:eastAsia="Times New Roman" w:hAnsi="Calibri" w:cs="Calibri"/>
          <w:b/>
          <w:bCs/>
          <w:color w:val="000000"/>
          <w:u w:val="single"/>
        </w:rPr>
        <w:t>DFT for Solids and 2D Materials (Quantum ESPRESSO)</w:t>
      </w:r>
      <w:r>
        <w:rPr>
          <w:rFonts w:ascii="Calibri" w:eastAsia="Times New Roman" w:hAnsi="Calibri" w:cs="Calibri"/>
          <w:color w:val="000000"/>
        </w:rPr>
        <w:t xml:space="preserve">: an interface for the plane-wave DFT code Quantum ESPRESSO ( </w:t>
      </w:r>
      <w:r>
        <w:rPr>
          <w:rFonts w:ascii="Calibri" w:eastAsia="Times New Roman" w:hAnsi="Calibri" w:cs="Calibri"/>
          <w:color w:val="000000"/>
        </w:rPr>
        <w:fldChar w:fldCharType="begin"/>
      </w:r>
      <w:r>
        <w:rPr>
          <w:rFonts w:ascii="Calibri" w:eastAsia="Times New Roman" w:hAnsi="Calibri" w:cs="Calibri"/>
          <w:color w:val="000000"/>
        </w:rPr>
        <w:instrText xml:space="preserve"> HYPERLINK "</w:instrText>
      </w:r>
      <w:r w:rsidRPr="00DB4B81">
        <w:rPr>
          <w:rFonts w:ascii="Calibri" w:eastAsia="Times New Roman" w:hAnsi="Calibri" w:cs="Calibri"/>
          <w:color w:val="000000"/>
        </w:rPr>
        <w:instrText>https://www.quantum-espresso.org/</w:instrText>
      </w:r>
      <w:r>
        <w:rPr>
          <w:rFonts w:ascii="Calibri" w:eastAsia="Times New Roman" w:hAnsi="Calibri" w:cs="Calibri"/>
          <w:color w:val="000000"/>
        </w:rPr>
        <w:instrText xml:space="preserve">" </w:instrText>
      </w:r>
      <w:r>
        <w:rPr>
          <w:rFonts w:ascii="Calibri" w:eastAsia="Times New Roman" w:hAnsi="Calibri" w:cs="Calibri"/>
          <w:color w:val="000000"/>
        </w:rPr>
        <w:fldChar w:fldCharType="separate"/>
      </w:r>
      <w:r w:rsidRPr="005B6C50">
        <w:rPr>
          <w:rStyle w:val="Hyperlink"/>
          <w:rFonts w:ascii="Calibri" w:eastAsia="Times New Roman" w:hAnsi="Calibri" w:cs="Calibri"/>
        </w:rPr>
        <w:t>https://www.quantum-espresso.org/</w:t>
      </w:r>
      <w:r>
        <w:rPr>
          <w:rFonts w:ascii="Calibri" w:eastAsia="Times New Roman" w:hAnsi="Calibri" w:cs="Calibri"/>
          <w:color w:val="000000"/>
        </w:rPr>
        <w:fldChar w:fldCharType="end"/>
      </w:r>
      <w:r>
        <w:rPr>
          <w:rFonts w:ascii="Calibri" w:eastAsia="Times New Roman" w:hAnsi="Calibri" w:cs="Calibri"/>
          <w:color w:val="000000"/>
        </w:rPr>
        <w:t xml:space="preserve"> ) with a more detailed guide found at </w:t>
      </w:r>
      <w:hyperlink r:id="rId8" w:history="1">
        <w:r w:rsidRPr="00F41E4F">
          <w:rPr>
            <w:rStyle w:val="Hyperlink"/>
          </w:rPr>
          <w:t>https://nanohub.org/resources/ucb_compnano</w:t>
        </w:r>
      </w:hyperlink>
    </w:p>
    <w:p w14:paraId="364DE615" w14:textId="72DED16D" w:rsidR="00DB4B81" w:rsidRDefault="00DB4B81" w:rsidP="00550BCB">
      <w:pPr>
        <w:pStyle w:val="ListParagraph"/>
        <w:numPr>
          <w:ilvl w:val="0"/>
          <w:numId w:val="7"/>
        </w:numPr>
        <w:shd w:val="clear" w:color="auto" w:fill="FFFFFF"/>
        <w:spacing w:after="0" w:line="240" w:lineRule="auto"/>
        <w:rPr>
          <w:rFonts w:ascii="Calibri" w:eastAsia="Times New Roman" w:hAnsi="Calibri" w:cs="Calibri"/>
          <w:color w:val="000000"/>
        </w:rPr>
      </w:pPr>
      <w:r w:rsidRPr="00DB4B81">
        <w:rPr>
          <w:rFonts w:ascii="Calibri" w:eastAsia="Times New Roman" w:hAnsi="Calibri" w:cs="Calibri"/>
          <w:b/>
          <w:bCs/>
          <w:color w:val="000000"/>
        </w:rPr>
        <w:t>Crystalline Structures and Densities (</w:t>
      </w:r>
      <w:proofErr w:type="spellStart"/>
      <w:r w:rsidRPr="00DB4B81">
        <w:rPr>
          <w:rFonts w:ascii="Calibri" w:eastAsia="Times New Roman" w:hAnsi="Calibri" w:cs="Calibri"/>
          <w:b/>
          <w:bCs/>
          <w:color w:val="000000"/>
        </w:rPr>
        <w:t>XCrySDen</w:t>
      </w:r>
      <w:proofErr w:type="spellEnd"/>
      <w:r w:rsidRPr="00DB4B81">
        <w:rPr>
          <w:rFonts w:ascii="Calibri" w:eastAsia="Times New Roman" w:hAnsi="Calibri" w:cs="Calibri"/>
          <w:b/>
          <w:bCs/>
          <w:color w:val="000000"/>
        </w:rPr>
        <w:t>):</w:t>
      </w:r>
      <w:r>
        <w:rPr>
          <w:rFonts w:ascii="Calibri" w:eastAsia="Times New Roman" w:hAnsi="Calibri" w:cs="Calibri"/>
          <w:color w:val="000000"/>
        </w:rPr>
        <w:t xml:space="preserve"> an interface for </w:t>
      </w:r>
      <w:proofErr w:type="spellStart"/>
      <w:r>
        <w:rPr>
          <w:rFonts w:ascii="Calibri" w:eastAsia="Times New Roman" w:hAnsi="Calibri" w:cs="Calibri"/>
          <w:color w:val="000000"/>
        </w:rPr>
        <w:t>XCrySDen</w:t>
      </w:r>
      <w:proofErr w:type="spellEnd"/>
      <w:r>
        <w:rPr>
          <w:rFonts w:ascii="Calibri" w:eastAsia="Times New Roman" w:hAnsi="Calibri" w:cs="Calibri"/>
          <w:color w:val="000000"/>
        </w:rPr>
        <w:t xml:space="preserve"> ( </w:t>
      </w:r>
      <w:r>
        <w:rPr>
          <w:rFonts w:ascii="Calibri" w:eastAsia="Times New Roman" w:hAnsi="Calibri" w:cs="Calibri"/>
          <w:color w:val="000000"/>
        </w:rPr>
        <w:fldChar w:fldCharType="begin"/>
      </w:r>
      <w:r>
        <w:rPr>
          <w:rFonts w:ascii="Calibri" w:eastAsia="Times New Roman" w:hAnsi="Calibri" w:cs="Calibri"/>
          <w:color w:val="000000"/>
        </w:rPr>
        <w:instrText xml:space="preserve"> HYPERLINK "</w:instrText>
      </w:r>
      <w:r w:rsidRPr="00DB4B81">
        <w:rPr>
          <w:rFonts w:ascii="Calibri" w:eastAsia="Times New Roman" w:hAnsi="Calibri" w:cs="Calibri"/>
          <w:color w:val="000000"/>
        </w:rPr>
        <w:instrText>http://www.xcrysden.org/</w:instrText>
      </w:r>
      <w:r>
        <w:rPr>
          <w:rFonts w:ascii="Calibri" w:eastAsia="Times New Roman" w:hAnsi="Calibri" w:cs="Calibri"/>
          <w:color w:val="000000"/>
        </w:rPr>
        <w:instrText xml:space="preserve">" </w:instrText>
      </w:r>
      <w:r>
        <w:rPr>
          <w:rFonts w:ascii="Calibri" w:eastAsia="Times New Roman" w:hAnsi="Calibri" w:cs="Calibri"/>
          <w:color w:val="000000"/>
        </w:rPr>
        <w:fldChar w:fldCharType="separate"/>
      </w:r>
      <w:r w:rsidRPr="005B6C50">
        <w:rPr>
          <w:rStyle w:val="Hyperlink"/>
          <w:rFonts w:ascii="Calibri" w:eastAsia="Times New Roman" w:hAnsi="Calibri" w:cs="Calibri"/>
        </w:rPr>
        <w:t>http://www.xcrysden.org/</w:t>
      </w:r>
      <w:r>
        <w:rPr>
          <w:rFonts w:ascii="Calibri" w:eastAsia="Times New Roman" w:hAnsi="Calibri" w:cs="Calibri"/>
          <w:color w:val="000000"/>
        </w:rPr>
        <w:fldChar w:fldCharType="end"/>
      </w:r>
      <w:r>
        <w:rPr>
          <w:rFonts w:ascii="Calibri" w:eastAsia="Times New Roman" w:hAnsi="Calibri" w:cs="Calibri"/>
          <w:color w:val="000000"/>
        </w:rPr>
        <w:t xml:space="preserve"> ) to visualize input atomic coordinates and associated surfaces as still images or animations.</w:t>
      </w:r>
    </w:p>
    <w:p w14:paraId="691524D4" w14:textId="3245A69E" w:rsidR="00DB4B81" w:rsidRDefault="00DB4B81" w:rsidP="00550BCB">
      <w:pPr>
        <w:pStyle w:val="ListParagraph"/>
        <w:numPr>
          <w:ilvl w:val="0"/>
          <w:numId w:val="7"/>
        </w:numPr>
        <w:shd w:val="clear" w:color="auto" w:fill="FFFFFF"/>
        <w:spacing w:after="0" w:line="240" w:lineRule="auto"/>
        <w:rPr>
          <w:rFonts w:ascii="Calibri" w:eastAsia="Times New Roman" w:hAnsi="Calibri" w:cs="Calibri"/>
          <w:color w:val="000000"/>
        </w:rPr>
      </w:pPr>
      <w:r w:rsidRPr="00DB4B81">
        <w:rPr>
          <w:rFonts w:ascii="Calibri" w:eastAsia="Times New Roman" w:hAnsi="Calibri" w:cs="Calibri"/>
          <w:b/>
          <w:bCs/>
          <w:color w:val="000000"/>
        </w:rPr>
        <w:t>DFT for Solids, Nanostructures, and Molecules (SIESTA):</w:t>
      </w:r>
      <w:r>
        <w:rPr>
          <w:rFonts w:ascii="Calibri" w:eastAsia="Times New Roman" w:hAnsi="Calibri" w:cs="Calibri"/>
          <w:color w:val="000000"/>
        </w:rPr>
        <w:t xml:space="preserve"> an interface to SIESTA ( </w:t>
      </w:r>
      <w:r>
        <w:rPr>
          <w:rFonts w:ascii="Calibri" w:eastAsia="Times New Roman" w:hAnsi="Calibri" w:cs="Calibri"/>
          <w:color w:val="000000"/>
        </w:rPr>
        <w:fldChar w:fldCharType="begin"/>
      </w:r>
      <w:r>
        <w:rPr>
          <w:rFonts w:ascii="Calibri" w:eastAsia="Times New Roman" w:hAnsi="Calibri" w:cs="Calibri"/>
          <w:color w:val="000000"/>
        </w:rPr>
        <w:instrText xml:space="preserve"> HYPERLINK "</w:instrText>
      </w:r>
      <w:r w:rsidRPr="00DB4B81">
        <w:rPr>
          <w:rFonts w:ascii="Calibri" w:eastAsia="Times New Roman" w:hAnsi="Calibri" w:cs="Calibri"/>
          <w:color w:val="000000"/>
        </w:rPr>
        <w:instrText>https://departments.icmab.es/leem/siesta/</w:instrText>
      </w:r>
      <w:r>
        <w:rPr>
          <w:rFonts w:ascii="Calibri" w:eastAsia="Times New Roman" w:hAnsi="Calibri" w:cs="Calibri"/>
          <w:color w:val="000000"/>
        </w:rPr>
        <w:instrText xml:space="preserve">" </w:instrText>
      </w:r>
      <w:r>
        <w:rPr>
          <w:rFonts w:ascii="Calibri" w:eastAsia="Times New Roman" w:hAnsi="Calibri" w:cs="Calibri"/>
          <w:color w:val="000000"/>
        </w:rPr>
        <w:fldChar w:fldCharType="separate"/>
      </w:r>
      <w:r w:rsidRPr="005B6C50">
        <w:rPr>
          <w:rStyle w:val="Hyperlink"/>
          <w:rFonts w:ascii="Calibri" w:eastAsia="Times New Roman" w:hAnsi="Calibri" w:cs="Calibri"/>
        </w:rPr>
        <w:t>https://departments.icmab.es/leem/siesta/</w:t>
      </w:r>
      <w:r>
        <w:rPr>
          <w:rFonts w:ascii="Calibri" w:eastAsia="Times New Roman" w:hAnsi="Calibri" w:cs="Calibri"/>
          <w:color w:val="000000"/>
        </w:rPr>
        <w:fldChar w:fldCharType="end"/>
      </w:r>
      <w:r>
        <w:rPr>
          <w:rFonts w:ascii="Calibri" w:eastAsia="Times New Roman" w:hAnsi="Calibri" w:cs="Calibri"/>
          <w:color w:val="000000"/>
        </w:rPr>
        <w:t xml:space="preserve"> ) a DFT code that uses localized atomic orbitals as a basis set.</w:t>
      </w:r>
    </w:p>
    <w:p w14:paraId="3515D324" w14:textId="7A54E258" w:rsidR="00DB4B81" w:rsidRDefault="00DB4B81" w:rsidP="00550BCB">
      <w:pPr>
        <w:pStyle w:val="ListParagraph"/>
        <w:numPr>
          <w:ilvl w:val="0"/>
          <w:numId w:val="7"/>
        </w:numPr>
        <w:shd w:val="clear" w:color="auto" w:fill="FFFFFF"/>
        <w:spacing w:after="0" w:line="240" w:lineRule="auto"/>
        <w:rPr>
          <w:rFonts w:ascii="Calibri" w:eastAsia="Times New Roman" w:hAnsi="Calibri" w:cs="Calibri"/>
          <w:color w:val="000000"/>
        </w:rPr>
      </w:pPr>
      <w:r w:rsidRPr="00DB4B81">
        <w:rPr>
          <w:rFonts w:ascii="Calibri" w:eastAsia="Times New Roman" w:hAnsi="Calibri" w:cs="Calibri"/>
          <w:b/>
          <w:bCs/>
          <w:color w:val="000000"/>
        </w:rPr>
        <w:lastRenderedPageBreak/>
        <w:t>Quantum Monte Carlo (</w:t>
      </w:r>
      <w:proofErr w:type="spellStart"/>
      <w:r w:rsidRPr="00DB4B81">
        <w:rPr>
          <w:rFonts w:ascii="Calibri" w:eastAsia="Times New Roman" w:hAnsi="Calibri" w:cs="Calibri"/>
          <w:b/>
          <w:bCs/>
          <w:color w:val="000000"/>
        </w:rPr>
        <w:t>Qwalk</w:t>
      </w:r>
      <w:proofErr w:type="spellEnd"/>
      <w:r w:rsidRPr="00DB4B81">
        <w:rPr>
          <w:rFonts w:ascii="Calibri" w:eastAsia="Times New Roman" w:hAnsi="Calibri" w:cs="Calibri"/>
          <w:b/>
          <w:bCs/>
          <w:color w:val="000000"/>
        </w:rPr>
        <w:t>):</w:t>
      </w:r>
      <w:r>
        <w:rPr>
          <w:rFonts w:ascii="Calibri" w:eastAsia="Times New Roman" w:hAnsi="Calibri" w:cs="Calibri"/>
          <w:color w:val="000000"/>
        </w:rPr>
        <w:t xml:space="preserve"> an interface to QWALK ( </w:t>
      </w:r>
      <w:r>
        <w:rPr>
          <w:rFonts w:ascii="Calibri" w:eastAsia="Times New Roman" w:hAnsi="Calibri" w:cs="Calibri"/>
          <w:color w:val="000000"/>
        </w:rPr>
        <w:fldChar w:fldCharType="begin"/>
      </w:r>
      <w:r>
        <w:rPr>
          <w:rFonts w:ascii="Calibri" w:eastAsia="Times New Roman" w:hAnsi="Calibri" w:cs="Calibri"/>
          <w:color w:val="000000"/>
        </w:rPr>
        <w:instrText xml:space="preserve"> HYPERLINK "</w:instrText>
      </w:r>
      <w:r w:rsidRPr="00DB4B81">
        <w:rPr>
          <w:rFonts w:ascii="Calibri" w:eastAsia="Times New Roman" w:hAnsi="Calibri" w:cs="Calibri"/>
          <w:color w:val="000000"/>
        </w:rPr>
        <w:instrText>https://qwalk.github.io/mainline/</w:instrText>
      </w:r>
      <w:r>
        <w:rPr>
          <w:rFonts w:ascii="Calibri" w:eastAsia="Times New Roman" w:hAnsi="Calibri" w:cs="Calibri"/>
          <w:color w:val="000000"/>
        </w:rPr>
        <w:instrText xml:space="preserve">" </w:instrText>
      </w:r>
      <w:r>
        <w:rPr>
          <w:rFonts w:ascii="Calibri" w:eastAsia="Times New Roman" w:hAnsi="Calibri" w:cs="Calibri"/>
          <w:color w:val="000000"/>
        </w:rPr>
        <w:fldChar w:fldCharType="separate"/>
      </w:r>
      <w:r w:rsidRPr="005B6C50">
        <w:rPr>
          <w:rStyle w:val="Hyperlink"/>
          <w:rFonts w:ascii="Calibri" w:eastAsia="Times New Roman" w:hAnsi="Calibri" w:cs="Calibri"/>
        </w:rPr>
        <w:t>https://qwalk.github.io/mainline/</w:t>
      </w:r>
      <w:r>
        <w:rPr>
          <w:rFonts w:ascii="Calibri" w:eastAsia="Times New Roman" w:hAnsi="Calibri" w:cs="Calibri"/>
          <w:color w:val="000000"/>
        </w:rPr>
        <w:fldChar w:fldCharType="end"/>
      </w:r>
      <w:r>
        <w:rPr>
          <w:rFonts w:ascii="Calibri" w:eastAsia="Times New Roman" w:hAnsi="Calibri" w:cs="Calibri"/>
          <w:color w:val="000000"/>
        </w:rPr>
        <w:t xml:space="preserve"> ) a package that performs Monte Carlo electronic structure computations for many-electron molecules and solids.</w:t>
      </w:r>
    </w:p>
    <w:p w14:paraId="257C4BBF" w14:textId="124F0667" w:rsidR="00163344" w:rsidRDefault="00163344" w:rsidP="00163344">
      <w:pPr>
        <w:shd w:val="clear" w:color="auto" w:fill="FFFFFF"/>
        <w:spacing w:after="0" w:line="240" w:lineRule="auto"/>
        <w:rPr>
          <w:rFonts w:ascii="Calibri" w:eastAsia="Times New Roman" w:hAnsi="Calibri" w:cs="Calibri"/>
          <w:color w:val="000000"/>
        </w:rPr>
      </w:pPr>
    </w:p>
    <w:p w14:paraId="6940C88C" w14:textId="1B88FC5B" w:rsidR="00163344" w:rsidRPr="00163344" w:rsidRDefault="00163344" w:rsidP="00163344">
      <w:pPr>
        <w:shd w:val="clear" w:color="auto" w:fill="FFFFFF"/>
        <w:spacing w:after="0" w:line="240" w:lineRule="auto"/>
        <w:rPr>
          <w:rFonts w:ascii="Calibri" w:eastAsia="Times New Roman" w:hAnsi="Calibri" w:cs="Calibri"/>
          <w:color w:val="000000"/>
        </w:rPr>
      </w:pPr>
      <w:r w:rsidRPr="00163344">
        <w:rPr>
          <w:rFonts w:ascii="Calibri" w:eastAsia="Times New Roman" w:hAnsi="Calibri" w:cs="Calibri"/>
          <w:color w:val="000000"/>
        </w:rPr>
        <w:t>This</w:t>
      </w:r>
      <w:r>
        <w:rPr>
          <w:rFonts w:ascii="Calibri" w:eastAsia="Times New Roman" w:hAnsi="Calibri" w:cs="Calibri"/>
          <w:color w:val="000000"/>
        </w:rPr>
        <w:t xml:space="preserve"> document uses screenshots and lists to prompt the user to make changes on nanoHUB. </w:t>
      </w:r>
    </w:p>
    <w:p w14:paraId="2FDE1D9E" w14:textId="77777777" w:rsidR="00163344" w:rsidRDefault="00163344" w:rsidP="00163344">
      <w:pPr>
        <w:shd w:val="clear" w:color="auto" w:fill="FFFFFF"/>
        <w:spacing w:after="0" w:line="240" w:lineRule="auto"/>
        <w:rPr>
          <w:rFonts w:ascii="Calibri" w:eastAsia="Times New Roman" w:hAnsi="Calibri" w:cs="Calibri"/>
          <w:color w:val="000000"/>
          <w:highlight w:val="green"/>
        </w:rPr>
      </w:pPr>
    </w:p>
    <w:p w14:paraId="55C48925" w14:textId="755A9A4B" w:rsidR="00163344" w:rsidRDefault="00163344" w:rsidP="00163344">
      <w:pPr>
        <w:shd w:val="clear" w:color="auto" w:fill="FFFFFF"/>
        <w:spacing w:after="0" w:line="240" w:lineRule="auto"/>
        <w:rPr>
          <w:rFonts w:ascii="Calibri" w:eastAsia="Times New Roman" w:hAnsi="Calibri" w:cs="Calibri"/>
          <w:color w:val="000000"/>
        </w:rPr>
      </w:pPr>
      <w:r w:rsidRPr="0081739B">
        <w:rPr>
          <w:rFonts w:ascii="Calibri" w:eastAsia="Times New Roman" w:hAnsi="Calibri" w:cs="Calibri"/>
          <w:color w:val="000000"/>
          <w:highlight w:val="green"/>
        </w:rPr>
        <w:t xml:space="preserve">Prompt </w:t>
      </w:r>
      <m:oMath>
        <m:r>
          <w:rPr>
            <w:rFonts w:ascii="Cambria Math" w:eastAsia="Times New Roman" w:hAnsi="Cambria Math" w:cs="Calibri"/>
            <w:color w:val="000000"/>
            <w:highlight w:val="green"/>
          </w:rPr>
          <m:t>→</m:t>
        </m:r>
      </m:oMath>
      <w:r w:rsidRPr="0081739B">
        <w:rPr>
          <w:rFonts w:ascii="Calibri" w:eastAsia="Times New Roman" w:hAnsi="Calibri" w:cs="Calibri"/>
          <w:color w:val="000000"/>
          <w:highlight w:val="green"/>
        </w:rPr>
        <w:t xml:space="preserve"> Input</w:t>
      </w:r>
      <w:r>
        <w:rPr>
          <w:rFonts w:ascii="Calibri" w:eastAsia="Times New Roman" w:hAnsi="Calibri" w:cs="Calibri"/>
          <w:color w:val="000000"/>
        </w:rPr>
        <w:t xml:space="preserve">     Objects highlighted in green indicate that a new input is to be changed for the task.</w:t>
      </w:r>
    </w:p>
    <w:p w14:paraId="6914D0AA" w14:textId="77777777" w:rsidR="00163344" w:rsidRDefault="00163344" w:rsidP="00163344">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br/>
      </w:r>
      <w:r>
        <w:rPr>
          <w:rFonts w:ascii="Calibri" w:eastAsia="Times New Roman" w:hAnsi="Calibri" w:cs="Calibri"/>
          <w:color w:val="000000"/>
        </w:rPr>
        <w:t>Feel free to alter and/or share this guide to fit your classroom’s needs. For suggested changes to this document please email Enrique Guerrero (</w:t>
      </w:r>
      <w:hyperlink r:id="rId9" w:history="1">
        <w:r w:rsidRPr="00F41E4F">
          <w:rPr>
            <w:rStyle w:val="Hyperlink"/>
            <w:rFonts w:ascii="Calibri" w:eastAsia="Times New Roman" w:hAnsi="Calibri" w:cs="Calibri"/>
          </w:rPr>
          <w:t>eguerrero23@ucmerced.edu</w:t>
        </w:r>
      </w:hyperlink>
      <w:r>
        <w:rPr>
          <w:rFonts w:ascii="Calibri" w:eastAsia="Times New Roman" w:hAnsi="Calibri" w:cs="Calibri"/>
          <w:color w:val="000000"/>
        </w:rPr>
        <w:t>) or David A. Strubbe (</w:t>
      </w:r>
      <w:hyperlink r:id="rId10" w:history="1">
        <w:r w:rsidRPr="00F41E4F">
          <w:rPr>
            <w:rStyle w:val="Hyperlink"/>
            <w:rFonts w:ascii="Calibri" w:eastAsia="Times New Roman" w:hAnsi="Calibri" w:cs="Calibri"/>
          </w:rPr>
          <w:t>dstrubbe@ucmerced.edu</w:t>
        </w:r>
      </w:hyperlink>
      <w:r>
        <w:rPr>
          <w:rFonts w:ascii="Calibri" w:eastAsia="Times New Roman" w:hAnsi="Calibri" w:cs="Calibri"/>
          <w:color w:val="000000"/>
        </w:rPr>
        <w:t xml:space="preserve">). For suggested changes to the toolkit, or to report bugs, questions can be sent through </w:t>
      </w:r>
      <w:proofErr w:type="spellStart"/>
      <w:r>
        <w:rPr>
          <w:rFonts w:ascii="Calibri" w:eastAsia="Times New Roman" w:hAnsi="Calibri" w:cs="Calibri"/>
          <w:color w:val="000000"/>
        </w:rPr>
        <w:t>nanoHUB’s</w:t>
      </w:r>
      <w:proofErr w:type="spellEnd"/>
      <w:r>
        <w:rPr>
          <w:rFonts w:ascii="Calibri" w:eastAsia="Times New Roman" w:hAnsi="Calibri" w:cs="Calibri"/>
          <w:color w:val="000000"/>
        </w:rPr>
        <w:t xml:space="preserve"> interface directly: </w:t>
      </w:r>
      <w:hyperlink r:id="rId11" w:history="1">
        <w:r w:rsidRPr="00F41E4F">
          <w:rPr>
            <w:rStyle w:val="Hyperlink"/>
            <w:rFonts w:ascii="Calibri" w:eastAsia="Times New Roman" w:hAnsi="Calibri" w:cs="Calibri"/>
          </w:rPr>
          <w:t>https://nanohub.org/resources/ucb_compnano/questions</w:t>
        </w:r>
      </w:hyperlink>
      <w:r>
        <w:rPr>
          <w:rFonts w:ascii="Calibri" w:eastAsia="Times New Roman" w:hAnsi="Calibri" w:cs="Calibri"/>
          <w:color w:val="000000"/>
        </w:rPr>
        <w:t xml:space="preserve"> .</w:t>
      </w:r>
    </w:p>
    <w:p w14:paraId="7CB563D9" w14:textId="5E95F833" w:rsidR="00163344" w:rsidRPr="00163344" w:rsidRDefault="00163344" w:rsidP="00163344">
      <w:pPr>
        <w:shd w:val="clear" w:color="auto" w:fill="FFFFFF"/>
        <w:spacing w:after="0" w:line="240" w:lineRule="auto"/>
        <w:rPr>
          <w:rFonts w:ascii="Calibri" w:eastAsia="Times New Roman" w:hAnsi="Calibri" w:cs="Calibri"/>
          <w:color w:val="000000"/>
        </w:rPr>
      </w:pPr>
    </w:p>
    <w:p w14:paraId="153CDAFE" w14:textId="6B275E96" w:rsidR="001D64DC" w:rsidRPr="00550BCB" w:rsidRDefault="00797B6C" w:rsidP="00550BCB">
      <w:pPr>
        <w:pStyle w:val="ListParagraph"/>
        <w:shd w:val="clear" w:color="auto" w:fill="FFFFFF"/>
        <w:spacing w:after="0" w:line="240" w:lineRule="auto"/>
        <w:rPr>
          <w:rFonts w:ascii="Calibri" w:eastAsia="Times New Roman" w:hAnsi="Calibri" w:cs="Calibri"/>
          <w:color w:val="000000"/>
        </w:rPr>
      </w:pPr>
      <w:r>
        <w:br w:type="page"/>
      </w:r>
      <w:r w:rsidR="001D64DC" w:rsidRPr="005C380B">
        <w:rPr>
          <w:noProof/>
        </w:rPr>
        <w:lastRenderedPageBreak/>
        <w:drawing>
          <wp:anchor distT="0" distB="0" distL="114300" distR="114300" simplePos="0" relativeHeight="251669504" behindDoc="0" locked="0" layoutInCell="1" allowOverlap="1" wp14:anchorId="49D98E43" wp14:editId="3A3381D2">
            <wp:simplePos x="0" y="0"/>
            <wp:positionH relativeFrom="margin">
              <wp:posOffset>393700</wp:posOffset>
            </wp:positionH>
            <wp:positionV relativeFrom="page">
              <wp:posOffset>1301115</wp:posOffset>
            </wp:positionV>
            <wp:extent cx="5326380" cy="4701540"/>
            <wp:effectExtent l="133350" t="114300" r="140970" b="137160"/>
            <wp:wrapTopAndBottom/>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6380" cy="470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D64DC" w:rsidRPr="00550BCB">
        <w:rPr>
          <w:b/>
          <w:bCs/>
          <w:u w:val="single"/>
        </w:rPr>
        <w:t>Getting Started</w:t>
      </w:r>
    </w:p>
    <w:p w14:paraId="5AA9EC28" w14:textId="77777777" w:rsidR="001D64DC" w:rsidRDefault="001D64DC" w:rsidP="001D64DC">
      <w:pPr>
        <w:pStyle w:val="ListParagraph"/>
      </w:pPr>
    </w:p>
    <w:p w14:paraId="43D5A8FA" w14:textId="77777777" w:rsidR="001D64DC" w:rsidRDefault="001D64DC" w:rsidP="001D64DC">
      <w:pPr>
        <w:pStyle w:val="ListParagraph"/>
        <w:numPr>
          <w:ilvl w:val="0"/>
          <w:numId w:val="6"/>
        </w:numPr>
      </w:pPr>
      <w:r>
        <w:t xml:space="preserve">Go to </w:t>
      </w:r>
      <w:hyperlink r:id="rId13" w:history="1">
        <w:r w:rsidRPr="00373449">
          <w:rPr>
            <w:rStyle w:val="Hyperlink"/>
          </w:rPr>
          <w:t>https://nanohub.org/tools/ucb_compnano</w:t>
        </w:r>
      </w:hyperlink>
      <w:r>
        <w:t xml:space="preserve"> </w:t>
      </w:r>
    </w:p>
    <w:p w14:paraId="76C04E9E" w14:textId="77777777" w:rsidR="001D64DC" w:rsidRDefault="001D64DC" w:rsidP="001D64DC">
      <w:pPr>
        <w:pStyle w:val="ListParagraph"/>
        <w:numPr>
          <w:ilvl w:val="0"/>
          <w:numId w:val="6"/>
        </w:numPr>
      </w:pPr>
      <w:r>
        <w:t>Click “Launch Tool”</w:t>
      </w:r>
    </w:p>
    <w:p w14:paraId="328C03BB" w14:textId="55805905" w:rsidR="001D64DC" w:rsidRDefault="001D64DC" w:rsidP="001D64DC">
      <w:pPr>
        <w:pStyle w:val="ListParagraph"/>
        <w:numPr>
          <w:ilvl w:val="1"/>
          <w:numId w:val="6"/>
        </w:numPr>
      </w:pPr>
      <w:r>
        <w:t>Login or Signup to a nanoHUB account if you haven’t done so</w:t>
      </w:r>
      <w:r>
        <w:br w:type="page"/>
      </w:r>
    </w:p>
    <w:p w14:paraId="4077F43A" w14:textId="77777777" w:rsidR="001D64DC" w:rsidRDefault="001D64DC" w:rsidP="001D64DC">
      <w:pPr>
        <w:pStyle w:val="ListParagraph"/>
        <w:numPr>
          <w:ilvl w:val="0"/>
          <w:numId w:val="6"/>
        </w:numPr>
      </w:pPr>
      <w:r w:rsidRPr="00350B61">
        <w:rPr>
          <w:noProof/>
        </w:rPr>
        <w:lastRenderedPageBreak/>
        <w:drawing>
          <wp:anchor distT="0" distB="0" distL="114300" distR="114300" simplePos="0" relativeHeight="251670528" behindDoc="0" locked="0" layoutInCell="1" allowOverlap="1" wp14:anchorId="65083B31" wp14:editId="0B009D74">
            <wp:simplePos x="0" y="0"/>
            <wp:positionH relativeFrom="margin">
              <wp:align>right</wp:align>
            </wp:positionH>
            <wp:positionV relativeFrom="page">
              <wp:posOffset>1249045</wp:posOffset>
            </wp:positionV>
            <wp:extent cx="5398135" cy="4835525"/>
            <wp:effectExtent l="133350" t="114300" r="145415" b="136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746" t="1506" r="10099" b="3155"/>
                    <a:stretch/>
                  </pic:blipFill>
                  <pic:spPr bwMode="auto">
                    <a:xfrm>
                      <a:off x="0" y="0"/>
                      <a:ext cx="5398135" cy="4835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Note important interface </w:t>
      </w:r>
    </w:p>
    <w:p w14:paraId="54E11FFF" w14:textId="77777777" w:rsidR="001D64DC" w:rsidRDefault="001D64DC" w:rsidP="001D64DC">
      <w:pPr>
        <w:pStyle w:val="ListParagraph"/>
        <w:numPr>
          <w:ilvl w:val="1"/>
          <w:numId w:val="6"/>
        </w:numPr>
      </w:pPr>
      <w:r>
        <w:t>Choose among tools installed in this toolkit, we are focusing on Quantum ESPRESSO</w:t>
      </w:r>
    </w:p>
    <w:p w14:paraId="5B956C0D" w14:textId="77777777" w:rsidR="001D64DC" w:rsidRDefault="001D64DC" w:rsidP="001D64DC">
      <w:pPr>
        <w:pStyle w:val="ListParagraph"/>
        <w:numPr>
          <w:ilvl w:val="1"/>
          <w:numId w:val="6"/>
        </w:numPr>
      </w:pPr>
      <w:r>
        <w:t>“Terminate”: Ends the current session. If you close your browser, your session will still be active (with three active sessions allotted per user)</w:t>
      </w:r>
    </w:p>
    <w:p w14:paraId="0E5F1694" w14:textId="77777777" w:rsidR="001D64DC" w:rsidRDefault="001D64DC" w:rsidP="001D64DC">
      <w:pPr>
        <w:pStyle w:val="ListParagraph"/>
        <w:numPr>
          <w:ilvl w:val="1"/>
          <w:numId w:val="6"/>
        </w:numPr>
      </w:pPr>
      <w:r>
        <w:t>“Keep for later”: Does not end the session. Restart your session by choosing “Open” in your Dashboard</w:t>
      </w:r>
    </w:p>
    <w:p w14:paraId="70F1D5CC" w14:textId="77777777" w:rsidR="001D64DC" w:rsidRDefault="001D64DC" w:rsidP="001D64DC">
      <w:pPr>
        <w:pStyle w:val="ListParagraph"/>
        <w:numPr>
          <w:ilvl w:val="1"/>
          <w:numId w:val="6"/>
        </w:numPr>
      </w:pPr>
      <w:r>
        <w:t>Refresh the session is useful if the application does not respond or is frozen.</w:t>
      </w:r>
    </w:p>
    <w:p w14:paraId="08A3EF7E" w14:textId="77777777" w:rsidR="001D64DC" w:rsidRDefault="001D64DC" w:rsidP="001D64DC">
      <w:pPr>
        <w:pStyle w:val="ListParagraph"/>
        <w:numPr>
          <w:ilvl w:val="1"/>
          <w:numId w:val="6"/>
        </w:numPr>
      </w:pPr>
      <w:r>
        <w:t>Resizing the window can be used to see options that are otherwise not visible.</w:t>
      </w:r>
    </w:p>
    <w:p w14:paraId="3F88F045" w14:textId="14277C55" w:rsidR="001D64DC" w:rsidRDefault="001D64DC">
      <w:r>
        <w:br w:type="page"/>
      </w:r>
    </w:p>
    <w:p w14:paraId="3C9C72C7" w14:textId="77777777" w:rsidR="00797B6C" w:rsidRDefault="00797B6C"/>
    <w:p w14:paraId="25BB6423" w14:textId="595ED150" w:rsidR="00DE7226" w:rsidRPr="0050009A" w:rsidRDefault="00527949" w:rsidP="00106578">
      <w:pPr>
        <w:pStyle w:val="ListParagraph"/>
        <w:numPr>
          <w:ilvl w:val="0"/>
          <w:numId w:val="1"/>
        </w:numPr>
      </w:pPr>
      <w:r>
        <w:t xml:space="preserve">Classical </w:t>
      </w:r>
      <w:r w:rsidR="002D391F">
        <w:t>Molecular Dynamics</w:t>
      </w:r>
      <w:r w:rsidR="002A6C1E">
        <w:t>: Lennard-Jones</w:t>
      </w:r>
      <w:r w:rsidR="00313DDC" w:rsidRPr="00313DDC">
        <w:drawing>
          <wp:anchor distT="0" distB="0" distL="114300" distR="114300" simplePos="0" relativeHeight="251660288" behindDoc="0" locked="0" layoutInCell="1" allowOverlap="1" wp14:anchorId="3F36B3CC" wp14:editId="5497D4F2">
            <wp:simplePos x="0" y="0"/>
            <wp:positionH relativeFrom="column">
              <wp:posOffset>914400</wp:posOffset>
            </wp:positionH>
            <wp:positionV relativeFrom="paragraph">
              <wp:posOffset>766762</wp:posOffset>
            </wp:positionV>
            <wp:extent cx="2264410" cy="154686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4410" cy="1546860"/>
                    </a:xfrm>
                    <a:prstGeom prst="rect">
                      <a:avLst/>
                    </a:prstGeom>
                  </pic:spPr>
                </pic:pic>
              </a:graphicData>
            </a:graphic>
            <wp14:sizeRelH relativeFrom="margin">
              <wp14:pctWidth>0</wp14:pctWidth>
            </wp14:sizeRelH>
            <wp14:sizeRelV relativeFrom="margin">
              <wp14:pctHeight>0</wp14:pctHeight>
            </wp14:sizeRelV>
          </wp:anchor>
        </w:drawing>
      </w:r>
      <w:r w:rsidR="00313DDC" w:rsidRPr="00313DDC">
        <w:rPr>
          <w:i/>
          <w:iCs/>
        </w:rPr>
        <w:drawing>
          <wp:anchor distT="0" distB="0" distL="114300" distR="114300" simplePos="0" relativeHeight="251659264" behindDoc="0" locked="0" layoutInCell="1" allowOverlap="1" wp14:anchorId="22181324" wp14:editId="0E1ECADC">
            <wp:simplePos x="0" y="0"/>
            <wp:positionH relativeFrom="column">
              <wp:posOffset>913765</wp:posOffset>
            </wp:positionH>
            <wp:positionV relativeFrom="paragraph">
              <wp:posOffset>229870</wp:posOffset>
            </wp:positionV>
            <wp:extent cx="2264410" cy="53657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4410" cy="536575"/>
                    </a:xfrm>
                    <a:prstGeom prst="rect">
                      <a:avLst/>
                    </a:prstGeom>
                  </pic:spPr>
                </pic:pic>
              </a:graphicData>
            </a:graphic>
            <wp14:sizeRelH relativeFrom="margin">
              <wp14:pctWidth>0</wp14:pctWidth>
            </wp14:sizeRelH>
            <wp14:sizeRelV relativeFrom="margin">
              <wp14:pctHeight>0</wp14:pctHeight>
            </wp14:sizeRelV>
          </wp:anchor>
        </w:drawing>
      </w:r>
    </w:p>
    <w:p w14:paraId="6192C510" w14:textId="66E49847" w:rsidR="00313DDC" w:rsidRPr="00313DDC" w:rsidRDefault="00DE7226" w:rsidP="002A6C1E">
      <w:pPr>
        <w:pStyle w:val="ListParagraph"/>
        <w:numPr>
          <w:ilvl w:val="0"/>
          <w:numId w:val="4"/>
        </w:numPr>
      </w:pPr>
      <w:r>
        <w:t>In</w:t>
      </w:r>
      <w:r w:rsidR="006959B1">
        <w:t>f</w:t>
      </w:r>
      <w:r>
        <w:t xml:space="preserve">o: </w:t>
      </w:r>
      <w:r>
        <w:rPr>
          <w:i/>
          <w:iCs/>
        </w:rPr>
        <w:t>The Lennard-Jones system is quite powerful given its simplicity</w:t>
      </w:r>
      <w:r w:rsidR="00AC6C4B">
        <w:rPr>
          <w:i/>
          <w:iCs/>
        </w:rPr>
        <w:t xml:space="preserve">. The classical pair potential requires empirical parameters for </w:t>
      </w:r>
      <m:oMath>
        <m:r>
          <w:rPr>
            <w:rFonts w:ascii="Cambria Math" w:hAnsi="Cambria Math"/>
          </w:rPr>
          <m:t>σ</m:t>
        </m:r>
      </m:oMath>
      <w:r w:rsidR="00AC6C4B">
        <w:rPr>
          <w:rFonts w:eastAsiaTheme="minorEastAsia"/>
          <w:i/>
          <w:iCs/>
        </w:rPr>
        <w:t xml:space="preserve"> (</w:t>
      </w:r>
      <w:r w:rsidR="003B1813">
        <w:rPr>
          <w:rFonts w:eastAsiaTheme="minorEastAsia"/>
          <w:i/>
          <w:iCs/>
        </w:rPr>
        <w:t>particle ‘size’</w:t>
      </w:r>
      <w:r w:rsidR="00AC6C4B">
        <w:rPr>
          <w:rFonts w:eastAsiaTheme="minorEastAsia"/>
          <w:i/>
          <w:iCs/>
        </w:rPr>
        <w:t xml:space="preserve">) and </w:t>
      </w:r>
      <m:oMath>
        <m:r>
          <w:rPr>
            <w:rFonts w:ascii="Cambria Math" w:eastAsiaTheme="minorEastAsia" w:hAnsi="Cambria Math"/>
          </w:rPr>
          <m:t>ϵ</m:t>
        </m:r>
      </m:oMath>
      <w:r w:rsidR="003B1813">
        <w:rPr>
          <w:rFonts w:eastAsiaTheme="minorEastAsia"/>
          <w:i/>
          <w:iCs/>
        </w:rPr>
        <w:t xml:space="preserve"> (well depth).</w:t>
      </w:r>
      <w:r w:rsidR="00313DDC">
        <w:rPr>
          <w:rFonts w:eastAsiaTheme="minorEastAsia"/>
          <w:i/>
          <w:iCs/>
        </w:rPr>
        <w:t xml:space="preserve"> It captures the strong Pauli repulsion at small distances, attraction at medium range, and lack of interaction at far distances</w:t>
      </w:r>
      <w:r w:rsidR="009F402A">
        <w:rPr>
          <w:rFonts w:eastAsiaTheme="minorEastAsia"/>
          <w:i/>
          <w:iCs/>
        </w:rPr>
        <w:t>. We will compute a material of</w:t>
      </w:r>
      <w:r w:rsidR="00F97386">
        <w:rPr>
          <w:rFonts w:eastAsiaTheme="minorEastAsia"/>
          <w:i/>
          <w:iCs/>
        </w:rPr>
        <w:t xml:space="preserve"> particles interacting via the Lennard-Jones and vary the density.</w:t>
      </w:r>
      <w:r w:rsidR="002B3034">
        <w:rPr>
          <w:rFonts w:eastAsiaTheme="minorEastAsia"/>
          <w:i/>
          <w:iCs/>
        </w:rPr>
        <w:t xml:space="preserve"> This section uses the free and open-source molecular simulation code LAMMPS ( </w:t>
      </w:r>
      <w:r w:rsidR="002B3034">
        <w:rPr>
          <w:rFonts w:eastAsiaTheme="minorEastAsia"/>
          <w:i/>
          <w:iCs/>
        </w:rPr>
        <w:fldChar w:fldCharType="begin"/>
      </w:r>
      <w:r w:rsidR="002B3034">
        <w:rPr>
          <w:rFonts w:eastAsiaTheme="minorEastAsia"/>
          <w:i/>
          <w:iCs/>
        </w:rPr>
        <w:instrText xml:space="preserve"> HYPERLINK "https://lammps.org" </w:instrText>
      </w:r>
      <w:r w:rsidR="002B3034">
        <w:rPr>
          <w:rFonts w:eastAsiaTheme="minorEastAsia"/>
          <w:i/>
          <w:iCs/>
        </w:rPr>
        <w:fldChar w:fldCharType="separate"/>
      </w:r>
      <w:r w:rsidR="002B3034" w:rsidRPr="005B6C50">
        <w:rPr>
          <w:rStyle w:val="Hyperlink"/>
          <w:rFonts w:eastAsiaTheme="minorEastAsia"/>
          <w:i/>
          <w:iCs/>
        </w:rPr>
        <w:t>https://lammps.org</w:t>
      </w:r>
      <w:r w:rsidR="002B3034">
        <w:rPr>
          <w:rFonts w:eastAsiaTheme="minorEastAsia"/>
          <w:i/>
          <w:iCs/>
        </w:rPr>
        <w:fldChar w:fldCharType="end"/>
      </w:r>
      <w:r w:rsidR="002B3034">
        <w:rPr>
          <w:rFonts w:eastAsiaTheme="minorEastAsia"/>
          <w:i/>
          <w:iCs/>
        </w:rPr>
        <w:t xml:space="preserve"> ). </w:t>
      </w:r>
    </w:p>
    <w:p w14:paraId="2B5ECCA0" w14:textId="25B8117D" w:rsidR="00B3248F" w:rsidRPr="00B3248F" w:rsidRDefault="00B3248F" w:rsidP="002A6C1E">
      <w:pPr>
        <w:pStyle w:val="ListParagraph"/>
        <w:numPr>
          <w:ilvl w:val="0"/>
          <w:numId w:val="4"/>
        </w:numPr>
      </w:pPr>
      <w:r>
        <w:t xml:space="preserve">Select the </w:t>
      </w:r>
      <w:r w:rsidRPr="00B3248F">
        <w:rPr>
          <w:b/>
          <w:bCs/>
        </w:rPr>
        <w:t>Molecular Dynamics (Lennard-Jones)</w:t>
      </w:r>
      <w:r>
        <w:t xml:space="preserve"> Application</w:t>
      </w:r>
    </w:p>
    <w:p w14:paraId="65CA7315" w14:textId="39C73C3D" w:rsidR="00BD3DF0" w:rsidRPr="00BD3DF0" w:rsidRDefault="00B2421B" w:rsidP="002A6C1E">
      <w:pPr>
        <w:pStyle w:val="ListParagraph"/>
        <w:numPr>
          <w:ilvl w:val="0"/>
          <w:numId w:val="4"/>
        </w:numPr>
      </w:pPr>
      <w:r w:rsidRPr="00F97386">
        <w:rPr>
          <w:rFonts w:eastAsiaTheme="minorEastAsia"/>
        </w:rPr>
        <w:drawing>
          <wp:anchor distT="0" distB="0" distL="114300" distR="114300" simplePos="0" relativeHeight="251663360" behindDoc="0" locked="0" layoutInCell="1" allowOverlap="1" wp14:anchorId="3B141ED0" wp14:editId="4E94552E">
            <wp:simplePos x="0" y="0"/>
            <wp:positionH relativeFrom="margin">
              <wp:posOffset>733425</wp:posOffset>
            </wp:positionH>
            <wp:positionV relativeFrom="paragraph">
              <wp:posOffset>278130</wp:posOffset>
            </wp:positionV>
            <wp:extent cx="3218815" cy="177546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18815" cy="177546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Alter the i</w:t>
      </w:r>
      <w:r w:rsidR="00BD3DF0">
        <w:rPr>
          <w:rFonts w:eastAsiaTheme="minorEastAsia"/>
        </w:rPr>
        <w:t>nput</w:t>
      </w:r>
      <w:r>
        <w:rPr>
          <w:rFonts w:eastAsiaTheme="minorEastAsia"/>
        </w:rPr>
        <w:t xml:space="preserve"> parameters</w:t>
      </w:r>
      <w:r w:rsidR="00BD3DF0">
        <w:rPr>
          <w:rFonts w:eastAsiaTheme="minorEastAsia"/>
        </w:rPr>
        <w:t>:</w:t>
      </w:r>
    </w:p>
    <w:p w14:paraId="0C601C00" w14:textId="0C1B6417" w:rsidR="00B2421B" w:rsidRPr="00B2421B" w:rsidRDefault="00BD3DF0" w:rsidP="002A6C1E">
      <w:pPr>
        <w:pStyle w:val="ListParagraph"/>
        <w:numPr>
          <w:ilvl w:val="1"/>
          <w:numId w:val="4"/>
        </w:numPr>
        <w:rPr>
          <w:rFonts w:cstheme="minorHAnsi"/>
        </w:rPr>
      </w:pPr>
      <w:r w:rsidRPr="00C10F5F">
        <w:rPr>
          <w:rFonts w:eastAsiaTheme="minorEastAsia" w:cstheme="minorHAnsi"/>
          <w:highlight w:val="green"/>
        </w:rPr>
        <w:t xml:space="preserve">Number of particles </w:t>
      </w:r>
      <m:oMath>
        <m:r>
          <w:rPr>
            <w:rFonts w:ascii="Cambria Math" w:eastAsiaTheme="minorEastAsia" w:hAnsi="Cambria Math" w:cstheme="minorHAnsi"/>
            <w:highlight w:val="green"/>
          </w:rPr>
          <m:t>→</m:t>
        </m:r>
      </m:oMath>
      <w:r w:rsidR="00B2421B" w:rsidRPr="00C10F5F">
        <w:rPr>
          <w:rFonts w:eastAsiaTheme="minorEastAsia" w:cstheme="minorHAnsi"/>
          <w:highlight w:val="green"/>
        </w:rPr>
        <w:t xml:space="preserve"> 64</w:t>
      </w:r>
    </w:p>
    <w:p w14:paraId="5EE6022B" w14:textId="73AE42E9" w:rsidR="00B2421B" w:rsidRPr="00B2421B" w:rsidRDefault="00B2421B" w:rsidP="002A6C1E">
      <w:pPr>
        <w:pStyle w:val="ListParagraph"/>
        <w:numPr>
          <w:ilvl w:val="1"/>
          <w:numId w:val="4"/>
        </w:numPr>
        <w:rPr>
          <w:rFonts w:cstheme="minorHAnsi"/>
        </w:rPr>
      </w:pPr>
      <w:r w:rsidRPr="00C10F5F">
        <w:rPr>
          <w:rFonts w:eastAsiaTheme="minorEastAsia" w:cstheme="minorHAnsi"/>
          <w:highlight w:val="green"/>
        </w:rPr>
        <w:t>Box size (in units of sigma)</w:t>
      </w:r>
      <w:r w:rsidRPr="00C10F5F">
        <w:rPr>
          <w:rFonts w:eastAsiaTheme="minorEastAsia" w:cstheme="minorHAnsi"/>
          <w:iCs/>
          <w:highlight w:val="green"/>
        </w:rPr>
        <w:t xml:space="preserve"> </w:t>
      </w:r>
      <m:oMath>
        <m:r>
          <w:rPr>
            <w:rFonts w:ascii="Cambria Math" w:eastAsiaTheme="minorEastAsia" w:hAnsi="Cambria Math" w:cstheme="minorHAnsi"/>
            <w:highlight w:val="green"/>
          </w:rPr>
          <m:t>→</m:t>
        </m:r>
      </m:oMath>
      <w:r w:rsidRPr="00C10F5F">
        <w:rPr>
          <w:rFonts w:eastAsiaTheme="minorEastAsia" w:cstheme="minorHAnsi"/>
          <w:highlight w:val="green"/>
        </w:rPr>
        <w:t xml:space="preserve"> 3</w:t>
      </w:r>
      <w:r w:rsidRPr="00B2421B">
        <w:rPr>
          <w:rFonts w:eastAsiaTheme="minorEastAsia" w:cstheme="minorHAnsi"/>
          <w:highlight w:val="green"/>
        </w:rPr>
        <w:t>.5</w:t>
      </w:r>
    </w:p>
    <w:p w14:paraId="1100A691" w14:textId="31E999FE" w:rsidR="00B2421B" w:rsidRDefault="002A6C1E" w:rsidP="002A6C1E">
      <w:pPr>
        <w:pStyle w:val="ListParagraph"/>
        <w:numPr>
          <w:ilvl w:val="1"/>
          <w:numId w:val="4"/>
        </w:numPr>
      </w:pPr>
      <w:r w:rsidRPr="00B2421B">
        <w:rPr>
          <w:rFonts w:eastAsiaTheme="minorEastAsia"/>
        </w:rPr>
        <w:drawing>
          <wp:anchor distT="0" distB="0" distL="114300" distR="114300" simplePos="0" relativeHeight="251664384" behindDoc="0" locked="0" layoutInCell="1" allowOverlap="1" wp14:anchorId="5DAD0A4C" wp14:editId="3B96B8D8">
            <wp:simplePos x="0" y="0"/>
            <wp:positionH relativeFrom="column">
              <wp:posOffset>971550</wp:posOffset>
            </wp:positionH>
            <wp:positionV relativeFrom="paragraph">
              <wp:posOffset>401320</wp:posOffset>
            </wp:positionV>
            <wp:extent cx="1443355" cy="1277620"/>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355" cy="1277620"/>
                    </a:xfrm>
                    <a:prstGeom prst="rect">
                      <a:avLst/>
                    </a:prstGeom>
                  </pic:spPr>
                </pic:pic>
              </a:graphicData>
            </a:graphic>
            <wp14:sizeRelH relativeFrom="margin">
              <wp14:pctWidth>0</wp14:pctWidth>
            </wp14:sizeRelH>
            <wp14:sizeRelV relativeFrom="margin">
              <wp14:pctHeight>0</wp14:pctHeight>
            </wp14:sizeRelV>
          </wp:anchor>
        </w:drawing>
      </w:r>
      <w:r w:rsidR="00B2421B" w:rsidRPr="00C10F5F">
        <w:rPr>
          <w:rFonts w:eastAsiaTheme="minorEastAsia" w:cstheme="minorHAnsi"/>
          <w:highlight w:val="green"/>
        </w:rPr>
        <w:t>Number of simulation</w:t>
      </w:r>
      <w:r w:rsidR="00B2421B" w:rsidRPr="00C10F5F">
        <w:rPr>
          <w:rFonts w:ascii="Cambria Math" w:eastAsiaTheme="minorEastAsia" w:hAnsi="Cambria Math"/>
          <w:highlight w:val="green"/>
        </w:rPr>
        <w:t xml:space="preserve"> </w:t>
      </w:r>
      <w:r w:rsidR="00B2421B" w:rsidRPr="00C10F5F">
        <w:rPr>
          <w:noProof/>
          <w:highlight w:val="green"/>
        </w:rPr>
        <w:t>steps: 1</w:t>
      </w:r>
      <w:r w:rsidR="00B2421B" w:rsidRPr="00B2421B">
        <w:rPr>
          <w:noProof/>
          <w:highlight w:val="green"/>
        </w:rPr>
        <w:t>0000</w:t>
      </w:r>
    </w:p>
    <w:p w14:paraId="1EE39C53" w14:textId="2D348E53" w:rsidR="00B2421B" w:rsidRPr="00B2421B" w:rsidRDefault="002A6C1E" w:rsidP="002A6C1E">
      <w:pPr>
        <w:pStyle w:val="ListParagraph"/>
        <w:numPr>
          <w:ilvl w:val="0"/>
          <w:numId w:val="4"/>
        </w:numPr>
      </w:pPr>
      <w:r w:rsidRPr="00AD6FAD">
        <w:rPr>
          <w:rFonts w:eastAsiaTheme="minorEastAsia"/>
          <w:i/>
          <w:iCs/>
        </w:rPr>
        <w:lastRenderedPageBreak/>
        <w:drawing>
          <wp:anchor distT="0" distB="0" distL="114300" distR="114300" simplePos="0" relativeHeight="251665408" behindDoc="0" locked="0" layoutInCell="1" allowOverlap="1" wp14:anchorId="0660DA52" wp14:editId="1B01257C">
            <wp:simplePos x="0" y="0"/>
            <wp:positionH relativeFrom="page">
              <wp:posOffset>1400175</wp:posOffset>
            </wp:positionH>
            <wp:positionV relativeFrom="paragraph">
              <wp:posOffset>393065</wp:posOffset>
            </wp:positionV>
            <wp:extent cx="3817620" cy="36290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7620" cy="3629025"/>
                    </a:xfrm>
                    <a:prstGeom prst="rect">
                      <a:avLst/>
                    </a:prstGeom>
                  </pic:spPr>
                </pic:pic>
              </a:graphicData>
            </a:graphic>
            <wp14:sizeRelH relativeFrom="page">
              <wp14:pctWidth>0</wp14:pctWidth>
            </wp14:sizeRelH>
            <wp14:sizeRelV relativeFrom="page">
              <wp14:pctHeight>0</wp14:pctHeight>
            </wp14:sizeRelV>
          </wp:anchor>
        </w:drawing>
      </w:r>
      <w:r w:rsidR="00B2421B">
        <w:rPr>
          <w:rFonts w:eastAsiaTheme="minorEastAsia"/>
        </w:rPr>
        <w:t xml:space="preserve">Press </w:t>
      </w:r>
      <w:r w:rsidR="00B2421B" w:rsidRPr="00B2421B">
        <w:rPr>
          <w:rFonts w:eastAsiaTheme="minorEastAsia"/>
          <w:b/>
          <w:bCs/>
        </w:rPr>
        <w:t>Simulate</w:t>
      </w:r>
      <w:r w:rsidR="00B2421B">
        <w:rPr>
          <w:rFonts w:eastAsiaTheme="minorEastAsia"/>
        </w:rPr>
        <w:t xml:space="preserve">. If “Run </w:t>
      </w:r>
      <w:proofErr w:type="spellStart"/>
      <w:r w:rsidR="00B2421B">
        <w:rPr>
          <w:rFonts w:eastAsiaTheme="minorEastAsia"/>
        </w:rPr>
        <w:t>Jmol</w:t>
      </w:r>
      <w:proofErr w:type="spellEnd"/>
      <w:r w:rsidR="00B2421B">
        <w:rPr>
          <w:rFonts w:eastAsiaTheme="minorEastAsia"/>
        </w:rPr>
        <w:t xml:space="preserve"> viewer?” was left on, an animation will show a </w:t>
      </w:r>
      <w:r w:rsidR="006959B1">
        <w:rPr>
          <w:rFonts w:eastAsiaTheme="minorEastAsia"/>
        </w:rPr>
        <w:t>dense Lennard</w:t>
      </w:r>
      <w:r w:rsidR="00B2421B">
        <w:rPr>
          <w:rFonts w:eastAsiaTheme="minorEastAsia"/>
        </w:rPr>
        <w:t>-Jones material</w:t>
      </w:r>
    </w:p>
    <w:p w14:paraId="49C774C1" w14:textId="7618B715" w:rsidR="00AD6FAD" w:rsidRPr="002B3034" w:rsidRDefault="00B2421B" w:rsidP="002A6C1E">
      <w:pPr>
        <w:pStyle w:val="ListParagraph"/>
        <w:numPr>
          <w:ilvl w:val="0"/>
          <w:numId w:val="4"/>
        </w:numPr>
      </w:pPr>
      <w:r>
        <w:rPr>
          <w:rFonts w:eastAsiaTheme="minorEastAsia"/>
        </w:rPr>
        <w:t>Click on the “Molecular Dynamics (Lennard-Jones)” tab to return to the input.</w:t>
      </w:r>
    </w:p>
    <w:p w14:paraId="5A62729D" w14:textId="1C8E1220" w:rsidR="002B3034" w:rsidRPr="00AD6FAD" w:rsidRDefault="002B3034" w:rsidP="002A6C1E">
      <w:pPr>
        <w:pStyle w:val="ListParagraph"/>
        <w:numPr>
          <w:ilvl w:val="0"/>
          <w:numId w:val="4"/>
        </w:numPr>
      </w:pPr>
      <w:r>
        <w:rPr>
          <w:rFonts w:eastAsiaTheme="minorEastAsia"/>
        </w:rPr>
        <w:t xml:space="preserve">Click on “LAMMPS: Log File”. The initial section of this output log shows the LAMMPS parameters used, they can be compared against the LAMMPS documentation if so desired ( </w:t>
      </w:r>
      <w:r>
        <w:rPr>
          <w:rFonts w:eastAsiaTheme="minorEastAsia"/>
        </w:rPr>
        <w:fldChar w:fldCharType="begin"/>
      </w:r>
      <w:r>
        <w:rPr>
          <w:rFonts w:eastAsiaTheme="minorEastAsia"/>
        </w:rPr>
        <w:instrText xml:space="preserve"> HYPERLINK "</w:instrText>
      </w:r>
      <w:r w:rsidRPr="002B3034">
        <w:rPr>
          <w:rFonts w:eastAsiaTheme="minorEastAsia"/>
        </w:rPr>
        <w:instrText>https://docs.lammps.org/</w:instrText>
      </w:r>
      <w:r>
        <w:rPr>
          <w:rFonts w:eastAsiaTheme="minorEastAsia"/>
        </w:rPr>
        <w:instrText xml:space="preserve">" </w:instrText>
      </w:r>
      <w:r>
        <w:rPr>
          <w:rFonts w:eastAsiaTheme="minorEastAsia"/>
        </w:rPr>
        <w:fldChar w:fldCharType="separate"/>
      </w:r>
      <w:r w:rsidRPr="005B6C50">
        <w:rPr>
          <w:rStyle w:val="Hyperlink"/>
          <w:rFonts w:eastAsiaTheme="minorEastAsia"/>
        </w:rPr>
        <w:t>https://docs.lammps.org/</w:t>
      </w:r>
      <w:r>
        <w:rPr>
          <w:rFonts w:eastAsiaTheme="minorEastAsia"/>
        </w:rPr>
        <w:fldChar w:fldCharType="end"/>
      </w:r>
      <w:r>
        <w:rPr>
          <w:rFonts w:eastAsiaTheme="minorEastAsia"/>
        </w:rPr>
        <w:t xml:space="preserve"> ).</w:t>
      </w:r>
    </w:p>
    <w:p w14:paraId="48E88C32" w14:textId="79233392" w:rsidR="00AD6FAD" w:rsidRPr="00AD6FAD" w:rsidRDefault="00AD6FAD" w:rsidP="002A6C1E">
      <w:pPr>
        <w:pStyle w:val="ListParagraph"/>
        <w:numPr>
          <w:ilvl w:val="0"/>
          <w:numId w:val="4"/>
        </w:numPr>
      </w:pPr>
      <w:r>
        <w:rPr>
          <w:rFonts w:eastAsiaTheme="minorEastAsia"/>
        </w:rPr>
        <w:t>Click on the “Velocity Autocorrelation Function” file in the Result options. This tells us how much the system has evolved away from the initial state. Values near zero is a good sign that the system is sufficiently equilibrated.</w:t>
      </w:r>
    </w:p>
    <w:p w14:paraId="16CAEB38" w14:textId="41893D17" w:rsidR="005C005E" w:rsidRPr="005C005E" w:rsidRDefault="00AD6FAD" w:rsidP="002A6C1E">
      <w:pPr>
        <w:pStyle w:val="ListParagraph"/>
        <w:numPr>
          <w:ilvl w:val="0"/>
          <w:numId w:val="4"/>
        </w:numPr>
      </w:pPr>
      <w:r>
        <w:rPr>
          <w:rFonts w:eastAsiaTheme="minorEastAsia"/>
        </w:rPr>
        <w:t xml:space="preserve">Click on the “Radial Distribution Function” file in the Result options. </w:t>
      </w:r>
      <w:r w:rsidR="005C005E">
        <w:rPr>
          <w:rFonts w:eastAsiaTheme="minorEastAsia"/>
        </w:rPr>
        <w:t xml:space="preserve">This plot gives the relative likelihood that two particles are a given distance away. A </w:t>
      </w:r>
      <m:oMath>
        <m:r>
          <w:rPr>
            <w:rFonts w:ascii="Cambria Math" w:eastAsiaTheme="minorEastAsia" w:hAnsi="Cambria Math"/>
          </w:rPr>
          <m:t>g(r)</m:t>
        </m:r>
      </m:oMath>
      <w:r w:rsidR="005C005E">
        <w:rPr>
          <w:rFonts w:eastAsiaTheme="minorEastAsia"/>
        </w:rPr>
        <w:t xml:space="preserve"> value of </w:t>
      </w:r>
      <m:oMath>
        <m:r>
          <w:rPr>
            <w:rFonts w:ascii="Cambria Math" w:eastAsiaTheme="minorEastAsia" w:hAnsi="Cambria Math"/>
          </w:rPr>
          <m:t>0</m:t>
        </m:r>
      </m:oMath>
      <w:r w:rsidR="005C005E">
        <w:rPr>
          <w:rFonts w:eastAsiaTheme="minorEastAsia"/>
        </w:rPr>
        <w:t xml:space="preserve"> indicates that the likelihood is indistinguishable from a random arrangement of atoms.</w:t>
      </w:r>
    </w:p>
    <w:p w14:paraId="368046A4" w14:textId="0CB4EE75" w:rsidR="005C005E" w:rsidRPr="005C005E" w:rsidRDefault="005C005E" w:rsidP="002A6C1E">
      <w:pPr>
        <w:pStyle w:val="ListParagraph"/>
        <w:numPr>
          <w:ilvl w:val="0"/>
          <w:numId w:val="4"/>
        </w:numPr>
      </w:pPr>
      <w:r>
        <w:rPr>
          <w:rFonts w:eastAsiaTheme="minorEastAsia"/>
        </w:rPr>
        <w:t xml:space="preserve">Set </w:t>
      </w:r>
      <w:r w:rsidRPr="00C10F5F">
        <w:rPr>
          <w:rFonts w:eastAsiaTheme="minorEastAsia"/>
          <w:highlight w:val="green"/>
        </w:rPr>
        <w:t>Box size (in units of sigma</w:t>
      </w:r>
      <w:r w:rsidRPr="00C10F5F">
        <w:rPr>
          <w:rFonts w:eastAsiaTheme="minorEastAsia" w:cstheme="minorHAnsi"/>
          <w:highlight w:val="green"/>
        </w:rPr>
        <w:t>)</w:t>
      </w:r>
      <w:r w:rsidRPr="00C10F5F">
        <w:rPr>
          <w:rFonts w:eastAsiaTheme="minorEastAsia" w:cstheme="minorHAnsi"/>
          <w:iCs/>
          <w:highlight w:val="green"/>
        </w:rPr>
        <w:t xml:space="preserve"> </w:t>
      </w:r>
      <m:oMath>
        <m:r>
          <w:rPr>
            <w:rFonts w:ascii="Cambria Math" w:eastAsiaTheme="minorEastAsia" w:hAnsi="Cambria Math" w:cstheme="minorHAnsi"/>
            <w:highlight w:val="green"/>
          </w:rPr>
          <m:t>→</m:t>
        </m:r>
      </m:oMath>
      <w:r w:rsidRPr="00C10F5F">
        <w:rPr>
          <w:rFonts w:eastAsiaTheme="minorEastAsia"/>
          <w:highlight w:val="green"/>
        </w:rPr>
        <w:t xml:space="preserve"> </w:t>
      </w:r>
      <w:r w:rsidRPr="00C10F5F">
        <w:rPr>
          <w:rFonts w:eastAsiaTheme="minorEastAsia" w:cstheme="minorHAnsi"/>
          <w:highlight w:val="green"/>
        </w:rPr>
        <w:t>4</w:t>
      </w:r>
      <w:r w:rsidRPr="00C10F5F">
        <w:rPr>
          <w:rFonts w:eastAsiaTheme="minorEastAsia" w:cstheme="minorHAnsi"/>
          <w:highlight w:val="green"/>
        </w:rPr>
        <w:t>.5</w:t>
      </w:r>
      <w:r>
        <w:rPr>
          <w:rFonts w:eastAsiaTheme="minorEastAsia" w:cstheme="minorHAnsi"/>
        </w:rPr>
        <w:t xml:space="preserve"> then press </w:t>
      </w:r>
      <w:r w:rsidRPr="005C005E">
        <w:rPr>
          <w:rFonts w:eastAsiaTheme="minorEastAsia" w:cstheme="minorHAnsi"/>
          <w:b/>
          <w:bCs/>
        </w:rPr>
        <w:t>Simulate</w:t>
      </w:r>
      <w:r>
        <w:rPr>
          <w:rFonts w:eastAsiaTheme="minorEastAsia" w:cstheme="minorHAnsi"/>
        </w:rPr>
        <w:t>.</w:t>
      </w:r>
    </w:p>
    <w:p w14:paraId="5E445261" w14:textId="1815D47B" w:rsidR="005C005E" w:rsidRPr="005C005E" w:rsidRDefault="002B3034" w:rsidP="002A6C1E">
      <w:pPr>
        <w:pStyle w:val="ListParagraph"/>
        <w:numPr>
          <w:ilvl w:val="1"/>
          <w:numId w:val="4"/>
        </w:numPr>
      </w:pPr>
      <w:r w:rsidRPr="005C005E">
        <w:rPr>
          <w:rFonts w:eastAsiaTheme="minorEastAsia"/>
          <w:i/>
          <w:iCs/>
        </w:rPr>
        <w:drawing>
          <wp:anchor distT="0" distB="0" distL="114300" distR="114300" simplePos="0" relativeHeight="251666432" behindDoc="0" locked="0" layoutInCell="1" allowOverlap="1" wp14:anchorId="2F238ACE" wp14:editId="6984B499">
            <wp:simplePos x="0" y="0"/>
            <wp:positionH relativeFrom="column">
              <wp:posOffset>1019175</wp:posOffset>
            </wp:positionH>
            <wp:positionV relativeFrom="paragraph">
              <wp:posOffset>495300</wp:posOffset>
            </wp:positionV>
            <wp:extent cx="1466850" cy="1324610"/>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6850" cy="1324610"/>
                    </a:xfrm>
                    <a:prstGeom prst="rect">
                      <a:avLst/>
                    </a:prstGeom>
                  </pic:spPr>
                </pic:pic>
              </a:graphicData>
            </a:graphic>
            <wp14:sizeRelH relativeFrom="margin">
              <wp14:pctWidth>0</wp14:pctWidth>
            </wp14:sizeRelH>
            <wp14:sizeRelV relativeFrom="margin">
              <wp14:pctHeight>0</wp14:pctHeight>
            </wp14:sizeRelV>
          </wp:anchor>
        </w:drawing>
      </w:r>
      <w:r w:rsidR="005C005E">
        <w:rPr>
          <w:rFonts w:eastAsiaTheme="minorEastAsia"/>
        </w:rPr>
        <w:t xml:space="preserve">Repeat this for </w:t>
      </w:r>
      <w:r w:rsidR="005C005E" w:rsidRPr="002A6C1E">
        <w:rPr>
          <w:rFonts w:eastAsiaTheme="minorEastAsia"/>
          <w:highlight w:val="green"/>
        </w:rPr>
        <w:t>5.5</w:t>
      </w:r>
      <w:r w:rsidR="005C005E">
        <w:rPr>
          <w:rFonts w:eastAsiaTheme="minorEastAsia"/>
        </w:rPr>
        <w:t xml:space="preserve"> and </w:t>
      </w:r>
      <w:r w:rsidR="005C005E" w:rsidRPr="002A6C1E">
        <w:rPr>
          <w:rFonts w:eastAsiaTheme="minorEastAsia"/>
          <w:highlight w:val="green"/>
        </w:rPr>
        <w:t>6.5</w:t>
      </w:r>
      <w:r w:rsidR="005C005E">
        <w:rPr>
          <w:rFonts w:eastAsiaTheme="minorEastAsia"/>
        </w:rPr>
        <w:t xml:space="preserve"> to get a range of densities. </w:t>
      </w:r>
      <w:r w:rsidR="005C005E">
        <w:rPr>
          <w:rFonts w:eastAsiaTheme="minorEastAsia"/>
        </w:rPr>
        <w:t xml:space="preserve">Notice the more gas-like behavior </w:t>
      </w:r>
      <w:r w:rsidR="005C005E">
        <w:rPr>
          <w:rFonts w:eastAsiaTheme="minorEastAsia"/>
        </w:rPr>
        <w:t>of the animations at</w:t>
      </w:r>
      <w:r w:rsidR="005C005E">
        <w:rPr>
          <w:rFonts w:eastAsiaTheme="minorEastAsia"/>
        </w:rPr>
        <w:t xml:space="preserve"> low densit</w:t>
      </w:r>
      <w:r w:rsidR="002A6C1E">
        <w:rPr>
          <w:rFonts w:eastAsiaTheme="minorEastAsia"/>
        </w:rPr>
        <w:t>i</w:t>
      </w:r>
      <w:r w:rsidR="005C005E">
        <w:rPr>
          <w:rFonts w:eastAsiaTheme="minorEastAsia"/>
        </w:rPr>
        <w:t>es.</w:t>
      </w:r>
      <w:r w:rsidR="005C005E" w:rsidRPr="005C005E">
        <w:rPr>
          <w:rFonts w:eastAsiaTheme="minorEastAsia"/>
          <w:i/>
          <w:iCs/>
        </w:rPr>
        <w:br/>
      </w:r>
    </w:p>
    <w:p w14:paraId="46533F8E" w14:textId="1C970B3D" w:rsidR="00027DEC" w:rsidRDefault="00F06453" w:rsidP="00106578">
      <w:pPr>
        <w:pStyle w:val="ListParagraph"/>
        <w:numPr>
          <w:ilvl w:val="0"/>
          <w:numId w:val="4"/>
        </w:numPr>
        <w:rPr>
          <w:i/>
          <w:iCs/>
          <w:noProof/>
        </w:rPr>
      </w:pPr>
      <w:r w:rsidRPr="00027DEC">
        <w:lastRenderedPageBreak/>
        <w:drawing>
          <wp:anchor distT="0" distB="0" distL="114300" distR="114300" simplePos="0" relativeHeight="251667456" behindDoc="0" locked="0" layoutInCell="1" allowOverlap="1" wp14:anchorId="185C2EF9" wp14:editId="0A2953A3">
            <wp:simplePos x="0" y="0"/>
            <wp:positionH relativeFrom="column">
              <wp:posOffset>466725</wp:posOffset>
            </wp:positionH>
            <wp:positionV relativeFrom="paragraph">
              <wp:posOffset>128270</wp:posOffset>
            </wp:positionV>
            <wp:extent cx="3562350" cy="33718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2350" cy="3371850"/>
                    </a:xfrm>
                    <a:prstGeom prst="rect">
                      <a:avLst/>
                    </a:prstGeom>
                  </pic:spPr>
                </pic:pic>
              </a:graphicData>
            </a:graphic>
            <wp14:sizeRelH relativeFrom="margin">
              <wp14:pctWidth>0</wp14:pctWidth>
            </wp14:sizeRelH>
            <wp14:sizeRelV relativeFrom="margin">
              <wp14:pctHeight>0</wp14:pctHeight>
            </wp14:sizeRelV>
          </wp:anchor>
        </w:drawing>
      </w:r>
      <w:r w:rsidR="005C005E" w:rsidRPr="00027DEC">
        <w:t>R</w:t>
      </w:r>
      <w:r w:rsidR="005C005E">
        <w:t>evisit the “Velocity Autocorrelation Function” and “Radial Distribution Function” files. Slide the slider between different runs in the bottom-right corner</w:t>
      </w:r>
      <w:r w:rsidR="005C005E" w:rsidRPr="00F06453">
        <w:rPr>
          <w:i/>
          <w:iCs/>
        </w:rPr>
        <w:t>.</w:t>
      </w:r>
      <w:r w:rsidR="001D64DC" w:rsidRPr="00F06453">
        <w:rPr>
          <w:i/>
          <w:iCs/>
        </w:rPr>
        <w:t xml:space="preserve"> Are the lowest density computations sufficiently equilibrated? What density-dependent behavior exists in </w:t>
      </w:r>
      <m:oMath>
        <m:r>
          <w:rPr>
            <w:rFonts w:ascii="Cambria Math" w:eastAsiaTheme="minorEastAsia" w:hAnsi="Cambria Math"/>
          </w:rPr>
          <m:t>g(r)</m:t>
        </m:r>
      </m:oMath>
      <w:r w:rsidR="001D64DC" w:rsidRPr="00F06453">
        <w:rPr>
          <w:i/>
          <w:iCs/>
        </w:rPr>
        <w:t>?</w:t>
      </w:r>
      <w:r w:rsidR="001D64DC" w:rsidRPr="00F06453">
        <w:rPr>
          <w:i/>
          <w:iCs/>
          <w:noProof/>
        </w:rPr>
        <w:t xml:space="preserve"> </w:t>
      </w:r>
      <w:r>
        <w:rPr>
          <w:i/>
          <w:iCs/>
          <w:noProof/>
        </w:rPr>
        <w:t xml:space="preserve">As a bonus, you can download the “Pressures” for two of the runs, then upload them to the </w:t>
      </w:r>
      <w:r w:rsidRPr="00F06453">
        <w:rPr>
          <w:b/>
          <w:bCs/>
          <w:i/>
          <w:iCs/>
          <w:noProof/>
        </w:rPr>
        <w:t>Averages and Error Bars</w:t>
      </w:r>
      <w:r>
        <w:rPr>
          <w:i/>
          <w:iCs/>
          <w:noProof/>
        </w:rPr>
        <w:t xml:space="preserve"> application to compare statistical averages.</w:t>
      </w:r>
    </w:p>
    <w:p w14:paraId="3E63FABD" w14:textId="634562D5" w:rsidR="002B3034" w:rsidRPr="00027DEC" w:rsidRDefault="00027DEC" w:rsidP="00027DEC">
      <w:pPr>
        <w:rPr>
          <w:i/>
          <w:iCs/>
          <w:noProof/>
        </w:rPr>
      </w:pPr>
      <w:r>
        <w:rPr>
          <w:i/>
          <w:iCs/>
          <w:noProof/>
        </w:rPr>
        <w:br w:type="page"/>
      </w:r>
    </w:p>
    <w:p w14:paraId="5D72DC41" w14:textId="77777777" w:rsidR="00027DEC" w:rsidRDefault="002B3034" w:rsidP="00027DEC">
      <w:pPr>
        <w:pStyle w:val="ListParagraph"/>
        <w:numPr>
          <w:ilvl w:val="0"/>
          <w:numId w:val="1"/>
        </w:numPr>
      </w:pPr>
      <w:r>
        <w:lastRenderedPageBreak/>
        <w:t>Carbon Nanostructures:</w:t>
      </w:r>
    </w:p>
    <w:p w14:paraId="5D4FE284" w14:textId="77777777" w:rsidR="00027DEC" w:rsidRDefault="005C132B" w:rsidP="00027DEC">
      <w:pPr>
        <w:pStyle w:val="ListParagraph"/>
        <w:numPr>
          <w:ilvl w:val="0"/>
          <w:numId w:val="8"/>
        </w:numPr>
      </w:pPr>
      <w:r>
        <w:t xml:space="preserve">Select the </w:t>
      </w:r>
      <w:r w:rsidRPr="00027DEC">
        <w:rPr>
          <w:b/>
          <w:bCs/>
        </w:rPr>
        <w:t>Molecular Dynamics (Carbon Nanostructures and More)</w:t>
      </w:r>
      <w:r>
        <w:t xml:space="preserve"> Application</w:t>
      </w:r>
    </w:p>
    <w:p w14:paraId="20FE773D" w14:textId="77777777" w:rsidR="00027DEC" w:rsidRPr="00027DEC" w:rsidRDefault="00A75269" w:rsidP="00027DEC">
      <w:pPr>
        <w:pStyle w:val="ListParagraph"/>
        <w:numPr>
          <w:ilvl w:val="0"/>
          <w:numId w:val="8"/>
        </w:numPr>
      </w:pPr>
      <w:r w:rsidRPr="00027DEC">
        <w:rPr>
          <w:i/>
          <w:iCs/>
        </w:rPr>
        <w:t xml:space="preserve">Info: The Carbon Nanostructure app is a simplistic interface to the LAMMPS code that uses more sophisticated potentials than the Lennard-Jones, </w:t>
      </w:r>
      <w:proofErr w:type="gramStart"/>
      <w:r w:rsidRPr="00027DEC">
        <w:rPr>
          <w:i/>
          <w:iCs/>
        </w:rPr>
        <w:t>e.g.</w:t>
      </w:r>
      <w:proofErr w:type="gramEnd"/>
      <w:r w:rsidRPr="00027DEC">
        <w:rPr>
          <w:i/>
          <w:iCs/>
        </w:rPr>
        <w:t xml:space="preserve"> </w:t>
      </w:r>
      <w:proofErr w:type="spellStart"/>
      <w:r w:rsidRPr="00027DEC">
        <w:rPr>
          <w:i/>
          <w:iCs/>
        </w:rPr>
        <w:t>Tersoff</w:t>
      </w:r>
      <w:proofErr w:type="spellEnd"/>
      <w:r w:rsidRPr="00027DEC">
        <w:rPr>
          <w:i/>
          <w:iCs/>
        </w:rPr>
        <w:t xml:space="preserve"> potential. Several carbon nanostructures are preloaded as potential structures to study, but arbitrary input atomic coordinates are allowed. We will </w:t>
      </w:r>
      <w:r w:rsidR="00C10F5F" w:rsidRPr="00027DEC">
        <w:rPr>
          <w:i/>
          <w:iCs/>
        </w:rPr>
        <w:t>run a few computations of defected carbon nanotubes. This will allude to how the quantity-based CURE (Course-based Undergraduate Research Experience) approach could be used by students to study unique materials in parallel.</w:t>
      </w:r>
    </w:p>
    <w:p w14:paraId="61DD9B19" w14:textId="77777777" w:rsidR="00027DEC" w:rsidRPr="00027DEC" w:rsidRDefault="00C10F5F" w:rsidP="00027DEC">
      <w:pPr>
        <w:pStyle w:val="ListParagraph"/>
        <w:numPr>
          <w:ilvl w:val="0"/>
          <w:numId w:val="8"/>
        </w:numPr>
      </w:pPr>
      <w:r>
        <w:t xml:space="preserve">Set </w:t>
      </w:r>
      <w:r w:rsidRPr="00027DEC">
        <w:rPr>
          <w:highlight w:val="green"/>
        </w:rPr>
        <w:t xml:space="preserve">“Compute stress?” </w:t>
      </w:r>
      <m:oMath>
        <m:r>
          <w:rPr>
            <w:rFonts w:ascii="Cambria Math" w:hAnsi="Cambria Math"/>
            <w:highlight w:val="green"/>
          </w:rPr>
          <m:t>→</m:t>
        </m:r>
      </m:oMath>
      <w:r w:rsidRPr="00027DEC">
        <w:rPr>
          <w:rFonts w:eastAsiaTheme="minorEastAsia"/>
          <w:highlight w:val="green"/>
        </w:rPr>
        <w:t xml:space="preserve"> yes</w:t>
      </w:r>
    </w:p>
    <w:p w14:paraId="4487E45F" w14:textId="77777777" w:rsidR="00027DEC" w:rsidRPr="00027DEC" w:rsidRDefault="007251B5" w:rsidP="00027DEC">
      <w:pPr>
        <w:pStyle w:val="ListParagraph"/>
        <w:numPr>
          <w:ilvl w:val="0"/>
          <w:numId w:val="8"/>
        </w:numPr>
      </w:pPr>
      <w:r w:rsidRPr="00027DEC">
        <w:rPr>
          <w:rFonts w:eastAsiaTheme="minorEastAsia"/>
        </w:rPr>
        <w:t xml:space="preserve">Set </w:t>
      </w:r>
      <w:r w:rsidRPr="00027DEC">
        <w:rPr>
          <w:rFonts w:eastAsiaTheme="minorEastAsia"/>
          <w:highlight w:val="green"/>
        </w:rPr>
        <w:t xml:space="preserve">“XYZ Coordinates” </w:t>
      </w:r>
      <m:oMath>
        <m:r>
          <w:rPr>
            <w:rFonts w:ascii="Cambria Math" w:hAnsi="Cambria Math"/>
            <w:highlight w:val="green"/>
          </w:rPr>
          <m:t>→</m:t>
        </m:r>
      </m:oMath>
      <w:r w:rsidRPr="00027DEC">
        <w:rPr>
          <w:rFonts w:eastAsiaTheme="minorEastAsia"/>
          <w:highlight w:val="green"/>
        </w:rPr>
        <w:t xml:space="preserve"> (6,6) CNT</w:t>
      </w:r>
    </w:p>
    <w:p w14:paraId="48AF3996" w14:textId="77777777" w:rsidR="00027DEC" w:rsidRPr="00027DEC" w:rsidRDefault="007251B5" w:rsidP="00027DEC">
      <w:pPr>
        <w:pStyle w:val="ListParagraph"/>
        <w:numPr>
          <w:ilvl w:val="0"/>
          <w:numId w:val="8"/>
        </w:numPr>
      </w:pPr>
      <w:r w:rsidRPr="007251B5">
        <w:drawing>
          <wp:anchor distT="0" distB="0" distL="114300" distR="114300" simplePos="0" relativeHeight="251671552" behindDoc="0" locked="0" layoutInCell="1" allowOverlap="1" wp14:anchorId="2426AB8C" wp14:editId="1711FADD">
            <wp:simplePos x="0" y="0"/>
            <wp:positionH relativeFrom="page">
              <wp:posOffset>1600200</wp:posOffset>
            </wp:positionH>
            <wp:positionV relativeFrom="paragraph">
              <wp:posOffset>224790</wp:posOffset>
            </wp:positionV>
            <wp:extent cx="2781300" cy="11639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1163955"/>
                    </a:xfrm>
                    <a:prstGeom prst="rect">
                      <a:avLst/>
                    </a:prstGeom>
                  </pic:spPr>
                </pic:pic>
              </a:graphicData>
            </a:graphic>
            <wp14:sizeRelH relativeFrom="margin">
              <wp14:pctWidth>0</wp14:pctWidth>
            </wp14:sizeRelH>
            <wp14:sizeRelV relativeFrom="margin">
              <wp14:pctHeight>0</wp14:pctHeight>
            </wp14:sizeRelV>
          </wp:anchor>
        </w:drawing>
      </w:r>
      <w:r w:rsidRPr="00027DEC">
        <w:rPr>
          <w:rFonts w:eastAsiaTheme="minorEastAsia"/>
          <w:b/>
          <w:bCs/>
        </w:rPr>
        <w:t>Simulate</w:t>
      </w:r>
      <w:r w:rsidRPr="00027DEC">
        <w:rPr>
          <w:rFonts w:eastAsiaTheme="minorEastAsia"/>
        </w:rPr>
        <w:t>.</w:t>
      </w:r>
    </w:p>
    <w:p w14:paraId="1EF1A619" w14:textId="77777777" w:rsidR="00027DEC" w:rsidRPr="00027DEC" w:rsidRDefault="007251B5" w:rsidP="00027DEC">
      <w:pPr>
        <w:pStyle w:val="ListParagraph"/>
        <w:numPr>
          <w:ilvl w:val="0"/>
          <w:numId w:val="8"/>
        </w:numPr>
      </w:pPr>
      <w:r>
        <w:t xml:space="preserve">Info: </w:t>
      </w:r>
      <w:r w:rsidRPr="00027DEC">
        <w:rPr>
          <w:i/>
          <w:iCs/>
        </w:rPr>
        <w:t>We have chosen to minimize the atomic coordinates. The Carbon nanotube will be animated as the atoms relax. Outside of the list of available CNT configurations, many tools are available to generate other chirality tubes (</w:t>
      </w:r>
      <w:proofErr w:type="gramStart"/>
      <w:r w:rsidRPr="00027DEC">
        <w:rPr>
          <w:i/>
          <w:iCs/>
        </w:rPr>
        <w:t>e.g.</w:t>
      </w:r>
      <w:proofErr w:type="gramEnd"/>
      <w:r w:rsidRPr="00027DEC">
        <w:rPr>
          <w:i/>
          <w:iCs/>
        </w:rPr>
        <w:t xml:space="preserve"> </w:t>
      </w:r>
      <w:proofErr w:type="spellStart"/>
      <w:r w:rsidRPr="00027DEC">
        <w:rPr>
          <w:i/>
          <w:iCs/>
        </w:rPr>
        <w:t>TubeGen</w:t>
      </w:r>
      <w:proofErr w:type="spellEnd"/>
      <w:r w:rsidRPr="00027DEC">
        <w:rPr>
          <w:i/>
          <w:iCs/>
        </w:rPr>
        <w:t xml:space="preserve"> </w:t>
      </w:r>
      <w:hyperlink r:id="rId23" w:history="1">
        <w:r w:rsidRPr="00027DEC">
          <w:rPr>
            <w:rStyle w:val="Hyperlink"/>
            <w:i/>
            <w:iCs/>
          </w:rPr>
          <w:t>https://turin.nss.udel.edu/research/tubegenonline.html</w:t>
        </w:r>
      </w:hyperlink>
      <w:r w:rsidRPr="00027DEC">
        <w:rPr>
          <w:i/>
          <w:iCs/>
        </w:rPr>
        <w:t xml:space="preserve"> ).</w:t>
      </w:r>
    </w:p>
    <w:p w14:paraId="03AEFEBB" w14:textId="77777777" w:rsidR="00027DEC" w:rsidRDefault="007251B5" w:rsidP="00027DEC">
      <w:pPr>
        <w:pStyle w:val="ListParagraph"/>
        <w:numPr>
          <w:ilvl w:val="0"/>
          <w:numId w:val="8"/>
        </w:numPr>
      </w:pPr>
      <w:r w:rsidRPr="007251B5">
        <w:drawing>
          <wp:anchor distT="0" distB="0" distL="114300" distR="114300" simplePos="0" relativeHeight="251672576" behindDoc="0" locked="0" layoutInCell="1" allowOverlap="1" wp14:anchorId="4718A785" wp14:editId="6E249F4E">
            <wp:simplePos x="0" y="0"/>
            <wp:positionH relativeFrom="column">
              <wp:posOffset>914400</wp:posOffset>
            </wp:positionH>
            <wp:positionV relativeFrom="paragraph">
              <wp:posOffset>0</wp:posOffset>
            </wp:positionV>
            <wp:extent cx="3773708" cy="3337877"/>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3708" cy="3337877"/>
                    </a:xfrm>
                    <a:prstGeom prst="rect">
                      <a:avLst/>
                    </a:prstGeom>
                  </pic:spPr>
                </pic:pic>
              </a:graphicData>
            </a:graphic>
          </wp:anchor>
        </w:drawing>
      </w:r>
      <w:r>
        <w:t>There are several files in the Result dropdown after returning to the Molecular Dynamics tab. Most relevant is the “Potential Energy”, which allows you to view the change in energy over time.</w:t>
      </w:r>
    </w:p>
    <w:p w14:paraId="6E55EB39" w14:textId="77777777" w:rsidR="00027DEC" w:rsidRDefault="004F3866" w:rsidP="00027DEC">
      <w:pPr>
        <w:pStyle w:val="ListParagraph"/>
        <w:numPr>
          <w:ilvl w:val="0"/>
          <w:numId w:val="8"/>
        </w:numPr>
      </w:pPr>
      <w:r w:rsidRPr="004F3866">
        <w:lastRenderedPageBreak/>
        <w:drawing>
          <wp:anchor distT="0" distB="0" distL="114300" distR="114300" simplePos="0" relativeHeight="251673600" behindDoc="0" locked="0" layoutInCell="1" allowOverlap="1" wp14:anchorId="1D54258E" wp14:editId="75A5448C">
            <wp:simplePos x="0" y="0"/>
            <wp:positionH relativeFrom="column">
              <wp:posOffset>914400</wp:posOffset>
            </wp:positionH>
            <wp:positionV relativeFrom="paragraph">
              <wp:posOffset>1588</wp:posOffset>
            </wp:positionV>
            <wp:extent cx="4709113" cy="9931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9113" cy="993140"/>
                    </a:xfrm>
                    <a:prstGeom prst="rect">
                      <a:avLst/>
                    </a:prstGeom>
                  </pic:spPr>
                </pic:pic>
              </a:graphicData>
            </a:graphic>
          </wp:anchor>
        </w:drawing>
      </w:r>
      <w:r w:rsidR="007251B5">
        <w:t xml:space="preserve">The coordinate files could be downloaded for external data analyses. Scrolling down in the “LAMMPS: Log File” shows the </w:t>
      </w:r>
      <w:r>
        <w:t>pressure or stress “</w:t>
      </w:r>
      <w:proofErr w:type="spellStart"/>
      <w:r>
        <w:t>Pxx</w:t>
      </w:r>
      <w:proofErr w:type="spellEnd"/>
      <w:r>
        <w:t xml:space="preserve"> …” and so on. “</w:t>
      </w:r>
      <w:proofErr w:type="spellStart"/>
      <w:r>
        <w:t>Pzz</w:t>
      </w:r>
      <w:proofErr w:type="spellEnd"/>
      <w:r>
        <w:t xml:space="preserve">” (same axis as CNT periodicity) could be studied against different strains to compute the elasticity of the material, i.e. Young’s Modulus (see Quantum ESPRESSO tutorial). </w:t>
      </w:r>
    </w:p>
    <w:p w14:paraId="0D3AFD3D" w14:textId="77777777" w:rsidR="00027DEC" w:rsidRDefault="004F3866" w:rsidP="00027DEC">
      <w:pPr>
        <w:pStyle w:val="ListParagraph"/>
        <w:numPr>
          <w:ilvl w:val="0"/>
          <w:numId w:val="8"/>
        </w:numPr>
      </w:pPr>
      <w:r w:rsidRPr="004F3866">
        <w:drawing>
          <wp:anchor distT="0" distB="0" distL="114300" distR="114300" simplePos="0" relativeHeight="251674624" behindDoc="0" locked="0" layoutInCell="1" allowOverlap="1" wp14:anchorId="7140C95E" wp14:editId="15645011">
            <wp:simplePos x="0" y="0"/>
            <wp:positionH relativeFrom="column">
              <wp:posOffset>914400</wp:posOffset>
            </wp:positionH>
            <wp:positionV relativeFrom="paragraph">
              <wp:posOffset>241300</wp:posOffset>
            </wp:positionV>
            <wp:extent cx="2838450" cy="9601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8450" cy="960120"/>
                    </a:xfrm>
                    <a:prstGeom prst="rect">
                      <a:avLst/>
                    </a:prstGeom>
                  </pic:spPr>
                </pic:pic>
              </a:graphicData>
            </a:graphic>
            <wp14:sizeRelH relativeFrom="margin">
              <wp14:pctWidth>0</wp14:pctWidth>
            </wp14:sizeRelH>
            <wp14:sizeRelV relativeFrom="margin">
              <wp14:pctHeight>0</wp14:pctHeight>
            </wp14:sizeRelV>
          </wp:anchor>
        </w:drawing>
      </w:r>
      <w:r>
        <w:t xml:space="preserve">Return to the </w:t>
      </w:r>
      <w:r w:rsidRPr="00027DEC">
        <w:rPr>
          <w:b/>
          <w:bCs/>
        </w:rPr>
        <w:t>Input</w:t>
      </w:r>
      <w:r>
        <w:t>.</w:t>
      </w:r>
    </w:p>
    <w:p w14:paraId="3E77D17A" w14:textId="77777777" w:rsidR="00027DEC" w:rsidRDefault="004F3866" w:rsidP="00027DEC">
      <w:pPr>
        <w:pStyle w:val="ListParagraph"/>
        <w:numPr>
          <w:ilvl w:val="0"/>
          <w:numId w:val="8"/>
        </w:numPr>
      </w:pPr>
      <w:r>
        <w:t xml:space="preserve">Introduce a defect by removing an atom from the system, changing 384 to 383, and deleting one line. </w:t>
      </w:r>
      <w:r w:rsidRPr="00027DEC">
        <w:rPr>
          <w:b/>
          <w:bCs/>
        </w:rPr>
        <w:t>Simulate</w:t>
      </w:r>
      <w:r>
        <w:t xml:space="preserve">. </w:t>
      </w:r>
    </w:p>
    <w:p w14:paraId="612E2E2E" w14:textId="77777777" w:rsidR="00027DEC" w:rsidRDefault="004F3866" w:rsidP="00027DEC">
      <w:pPr>
        <w:pStyle w:val="ListParagraph"/>
        <w:numPr>
          <w:ilvl w:val="0"/>
          <w:numId w:val="8"/>
        </w:numPr>
      </w:pPr>
      <w:r>
        <w:t xml:space="preserve">Return to the </w:t>
      </w:r>
      <w:r w:rsidRPr="00027DEC">
        <w:rPr>
          <w:b/>
          <w:bCs/>
        </w:rPr>
        <w:t>Input</w:t>
      </w:r>
      <w:r>
        <w:t>.</w:t>
      </w:r>
    </w:p>
    <w:p w14:paraId="131F9F7D" w14:textId="77777777" w:rsidR="00027DEC" w:rsidRDefault="004F3866" w:rsidP="00027DEC">
      <w:pPr>
        <w:pStyle w:val="ListParagraph"/>
        <w:numPr>
          <w:ilvl w:val="0"/>
          <w:numId w:val="8"/>
        </w:numPr>
      </w:pPr>
      <w:r>
        <w:t xml:space="preserve">Delete a second atom. </w:t>
      </w:r>
      <w:r w:rsidR="0087076A">
        <w:t xml:space="preserve">Ideally, different students chose different pairs of vacancies. </w:t>
      </w:r>
      <w:r w:rsidR="0087076A" w:rsidRPr="00027DEC">
        <w:rPr>
          <w:b/>
          <w:bCs/>
        </w:rPr>
        <w:t>Simulate</w:t>
      </w:r>
      <w:r w:rsidR="0087076A">
        <w:t>. If working alone, return to the Input, reset the (6,6) CNT input, and delete a different pair of atoms then Simulate again.</w:t>
      </w:r>
    </w:p>
    <w:p w14:paraId="04FF9ED0" w14:textId="4B04D301" w:rsidR="004F3866" w:rsidRDefault="0087076A" w:rsidP="00027DEC">
      <w:pPr>
        <w:pStyle w:val="ListParagraph"/>
        <w:numPr>
          <w:ilvl w:val="0"/>
          <w:numId w:val="8"/>
        </w:numPr>
      </w:pPr>
      <w:r>
        <w:t xml:space="preserve">Open the “Potential Energy” plot in the “Molecular Dynamics” tab. </w:t>
      </w:r>
      <w:r w:rsidRPr="00027DEC">
        <w:rPr>
          <w:i/>
          <w:iCs/>
        </w:rPr>
        <w:t xml:space="preserve">Did your double vacancies produce different energies? </w:t>
      </w:r>
      <w:r w:rsidR="00F06453" w:rsidRPr="00027DEC">
        <w:rPr>
          <w:i/>
          <w:iCs/>
        </w:rPr>
        <w:t>Are divacancies more energetically favorable than distant single vacancies? In practice, different students would create a unique material and the data could be aggregated. More complex actions (</w:t>
      </w:r>
      <w:proofErr w:type="gramStart"/>
      <w:r w:rsidR="00F06453" w:rsidRPr="00027DEC">
        <w:rPr>
          <w:i/>
          <w:iCs/>
        </w:rPr>
        <w:t>e.g.</w:t>
      </w:r>
      <w:proofErr w:type="gramEnd"/>
      <w:r w:rsidR="00F06453" w:rsidRPr="00027DEC">
        <w:rPr>
          <w:i/>
          <w:iCs/>
        </w:rPr>
        <w:t xml:space="preserve"> band structures with DFT) could be computed independently by students with their own material.</w:t>
      </w:r>
    </w:p>
    <w:p w14:paraId="10B5BDF6" w14:textId="77777777" w:rsidR="00027DEC" w:rsidRDefault="00F06453" w:rsidP="00027DEC">
      <w:pPr>
        <w:pStyle w:val="ListParagraph"/>
        <w:numPr>
          <w:ilvl w:val="0"/>
          <w:numId w:val="1"/>
        </w:numPr>
      </w:pPr>
      <w:r>
        <w:t>Revisiting ESPRESSO: Phonons</w:t>
      </w:r>
    </w:p>
    <w:p w14:paraId="50A4DFDF" w14:textId="77777777" w:rsidR="00027DEC" w:rsidRDefault="00A84307" w:rsidP="00027DEC">
      <w:pPr>
        <w:pStyle w:val="ListParagraph"/>
        <w:numPr>
          <w:ilvl w:val="0"/>
          <w:numId w:val="10"/>
        </w:numPr>
      </w:pPr>
      <w:r>
        <w:t xml:space="preserve">Select the </w:t>
      </w:r>
      <w:r w:rsidRPr="00027DEC">
        <w:rPr>
          <w:b/>
          <w:bCs/>
        </w:rPr>
        <w:t>DFT for Solids and 2D Materials (Quantum ESPRESSO)</w:t>
      </w:r>
      <w:r>
        <w:t xml:space="preserve"> application</w:t>
      </w:r>
    </w:p>
    <w:p w14:paraId="3F61F62A" w14:textId="77777777" w:rsidR="00027DEC" w:rsidRPr="00027DEC" w:rsidRDefault="00910757" w:rsidP="00027DEC">
      <w:pPr>
        <w:pStyle w:val="ListParagraph"/>
        <w:numPr>
          <w:ilvl w:val="0"/>
          <w:numId w:val="10"/>
        </w:numPr>
      </w:pPr>
      <w:r w:rsidRPr="000D55A0">
        <w:lastRenderedPageBreak/>
        <w:drawing>
          <wp:anchor distT="0" distB="0" distL="114300" distR="114300" simplePos="0" relativeHeight="251675648" behindDoc="0" locked="0" layoutInCell="1" allowOverlap="1" wp14:anchorId="7E3905BC" wp14:editId="2F2B6806">
            <wp:simplePos x="0" y="0"/>
            <wp:positionH relativeFrom="margin">
              <wp:posOffset>447675</wp:posOffset>
            </wp:positionH>
            <wp:positionV relativeFrom="paragraph">
              <wp:posOffset>1397635</wp:posOffset>
            </wp:positionV>
            <wp:extent cx="4432935" cy="304800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2935" cy="3048000"/>
                    </a:xfrm>
                    <a:prstGeom prst="rect">
                      <a:avLst/>
                    </a:prstGeom>
                  </pic:spPr>
                </pic:pic>
              </a:graphicData>
            </a:graphic>
            <wp14:sizeRelH relativeFrom="page">
              <wp14:pctWidth>0</wp14:pctWidth>
            </wp14:sizeRelH>
            <wp14:sizeRelV relativeFrom="page">
              <wp14:pctHeight>0</wp14:pctHeight>
            </wp14:sizeRelV>
          </wp:anchor>
        </w:drawing>
      </w:r>
      <w:r w:rsidR="000D55A0">
        <w:t xml:space="preserve">Info: </w:t>
      </w:r>
      <w:r w:rsidR="000D55A0" w:rsidRPr="00027DEC">
        <w:rPr>
          <w:i/>
          <w:iCs/>
        </w:rPr>
        <w:t xml:space="preserve">We </w:t>
      </w:r>
      <w:r w:rsidR="00DB1553" w:rsidRPr="00027DEC">
        <w:rPr>
          <w:i/>
          <w:iCs/>
        </w:rPr>
        <w:t xml:space="preserve">have gone into detail using the ESPRESSO module in the previous session, so we recommend downloading the ESPRESSO guide from the following link </w:t>
      </w:r>
      <w:r w:rsidR="00DB1553" w:rsidRPr="00027DEC">
        <w:rPr>
          <w:i/>
          <w:iCs/>
        </w:rPr>
        <w:br/>
        <w:t xml:space="preserve">( </w:t>
      </w:r>
      <w:hyperlink r:id="rId28" w:history="1">
        <w:r w:rsidR="00DB1553" w:rsidRPr="00F41E4F">
          <w:rPr>
            <w:rStyle w:val="Hyperlink"/>
          </w:rPr>
          <w:t>https://nanohub.org/resources/ucb_compnano</w:t>
        </w:r>
      </w:hyperlink>
      <w:r w:rsidR="00DB1553" w:rsidRPr="00027DEC">
        <w:rPr>
          <w:i/>
          <w:iCs/>
        </w:rPr>
        <w:t xml:space="preserve"> ) if this app is of interest. </w:t>
      </w:r>
      <w:r w:rsidR="00395731" w:rsidRPr="00027DEC">
        <w:rPr>
          <w:i/>
          <w:iCs/>
        </w:rPr>
        <w:t>The paradigm in this module it that there are two main tabs: the “Physical System” tab to describe your system and the “Calculation Parameters” tab to choose the levels of DFT approximations.</w:t>
      </w:r>
      <w:r w:rsidR="00F64990" w:rsidRPr="00027DEC">
        <w:rPr>
          <w:i/>
          <w:iCs/>
        </w:rPr>
        <w:t xml:space="preserve"> We are going to compute the Raman spectra of monolayer MoS</w:t>
      </w:r>
      <w:r w:rsidR="00F64990" w:rsidRPr="00027DEC">
        <w:rPr>
          <w:i/>
          <w:iCs/>
          <w:vertAlign w:val="subscript"/>
        </w:rPr>
        <w:t>2</w:t>
      </w:r>
      <w:r w:rsidR="00F64990" w:rsidRPr="00027DEC">
        <w:rPr>
          <w:i/>
          <w:iCs/>
        </w:rPr>
        <w:t xml:space="preserve">. </w:t>
      </w:r>
      <w:r w:rsidR="00395731" w:rsidRPr="00027DEC">
        <w:rPr>
          <w:i/>
          <w:iCs/>
        </w:rPr>
        <w:t xml:space="preserve"> We will run a </w:t>
      </w:r>
      <w:r w:rsidR="00B70785" w:rsidRPr="00027DEC">
        <w:rPr>
          <w:i/>
          <w:iCs/>
        </w:rPr>
        <w:t xml:space="preserve">fast version of the </w:t>
      </w:r>
      <w:r w:rsidR="00395731" w:rsidRPr="00027DEC">
        <w:rPr>
          <w:i/>
          <w:iCs/>
        </w:rPr>
        <w:t>computation</w:t>
      </w:r>
      <w:r w:rsidR="00F64990" w:rsidRPr="00027DEC">
        <w:rPr>
          <w:i/>
          <w:iCs/>
        </w:rPr>
        <w:t>,</w:t>
      </w:r>
      <w:r w:rsidR="00B70785" w:rsidRPr="00027DEC">
        <w:rPr>
          <w:i/>
          <w:iCs/>
        </w:rPr>
        <w:t xml:space="preserve"> but the approximations will be quite harsh.</w:t>
      </w:r>
      <w:r w:rsidR="00F64990" w:rsidRPr="00027DEC">
        <w:rPr>
          <w:i/>
          <w:iCs/>
        </w:rPr>
        <w:t xml:space="preserve"> </w:t>
      </w:r>
    </w:p>
    <w:p w14:paraId="3E9D2D86" w14:textId="2EA9B3C2" w:rsidR="00B70785" w:rsidRDefault="00B70785" w:rsidP="00027DEC">
      <w:pPr>
        <w:pStyle w:val="ListParagraph"/>
        <w:numPr>
          <w:ilvl w:val="0"/>
          <w:numId w:val="10"/>
        </w:numPr>
      </w:pPr>
      <w:r>
        <w:t>In the “Physical System” tab</w:t>
      </w:r>
      <w:r w:rsidR="00F64990">
        <w:t>:</w:t>
      </w:r>
    </w:p>
    <w:p w14:paraId="5D16B33D" w14:textId="2129DD46" w:rsidR="00B70785" w:rsidRPr="00B70785" w:rsidRDefault="00B70785" w:rsidP="00027DEC">
      <w:pPr>
        <w:pStyle w:val="ListParagraph"/>
        <w:numPr>
          <w:ilvl w:val="1"/>
          <w:numId w:val="8"/>
        </w:numPr>
      </w:pPr>
      <w:r w:rsidRPr="00B70785">
        <w:t xml:space="preserve">Set </w:t>
      </w:r>
      <w:r w:rsidRPr="00B70785">
        <w:rPr>
          <w:highlight w:val="green"/>
        </w:rPr>
        <w:t xml:space="preserve">Bravais lattice </w:t>
      </w:r>
      <m:oMath>
        <m:r>
          <w:rPr>
            <w:rFonts w:ascii="Cambria Math" w:hAnsi="Cambria Math"/>
            <w:highlight w:val="green"/>
          </w:rPr>
          <m:t xml:space="preserve">→ </m:t>
        </m:r>
      </m:oMath>
      <w:r w:rsidRPr="00B70785">
        <w:rPr>
          <w:rFonts w:eastAsiaTheme="minorEastAsia"/>
          <w:highlight w:val="green"/>
        </w:rPr>
        <w:t>“arbitrary (specify full lattice vectors)”</w:t>
      </w:r>
    </w:p>
    <w:p w14:paraId="796EB934" w14:textId="4E0E8BB2" w:rsidR="00B70785" w:rsidRPr="00B70785" w:rsidRDefault="00B70785" w:rsidP="00027DEC">
      <w:pPr>
        <w:pStyle w:val="ListParagraph"/>
        <w:numPr>
          <w:ilvl w:val="1"/>
          <w:numId w:val="8"/>
        </w:numPr>
      </w:pPr>
      <w:r w:rsidRPr="00B70785">
        <w:rPr>
          <w:rFonts w:eastAsiaTheme="minorEastAsia"/>
        </w:rPr>
        <w:t xml:space="preserve">Set </w:t>
      </w:r>
      <w:r w:rsidRPr="00B70785">
        <w:rPr>
          <w:rFonts w:eastAsiaTheme="minorEastAsia"/>
          <w:highlight w:val="green"/>
        </w:rPr>
        <w:t xml:space="preserve">Lattice vectors </w:t>
      </w:r>
      <m:oMath>
        <m:r>
          <w:rPr>
            <w:rFonts w:ascii="Cambria Math" w:hAnsi="Cambria Math"/>
            <w:highlight w:val="green"/>
          </w:rPr>
          <m:t>→</m:t>
        </m:r>
      </m:oMath>
      <w:r w:rsidRPr="00B70785">
        <w:rPr>
          <w:rFonts w:eastAsiaTheme="minorEastAsia"/>
          <w:highlight w:val="green"/>
        </w:rPr>
        <w:t xml:space="preserve"> </w:t>
      </w:r>
      <w:r w:rsidRPr="00B70785">
        <w:rPr>
          <w:rFonts w:eastAsiaTheme="minorEastAsia"/>
          <w:highlight w:val="green"/>
        </w:rPr>
        <w:br/>
        <w:t>1.000 0.000 0.000</w:t>
      </w:r>
      <w:r w:rsidRPr="00B70785">
        <w:rPr>
          <w:rFonts w:eastAsiaTheme="minorEastAsia"/>
          <w:highlight w:val="green"/>
        </w:rPr>
        <w:br/>
        <w:t>-0.50 0.866 0.000</w:t>
      </w:r>
      <w:r w:rsidRPr="00B70785">
        <w:rPr>
          <w:rFonts w:eastAsiaTheme="minorEastAsia"/>
          <w:highlight w:val="green"/>
        </w:rPr>
        <w:br/>
        <w:t>0.000 0.000 3.890</w:t>
      </w:r>
    </w:p>
    <w:p w14:paraId="473A03D8" w14:textId="39A38CBD" w:rsidR="00B70785" w:rsidRPr="00B70785" w:rsidRDefault="00B70785" w:rsidP="00027DEC">
      <w:pPr>
        <w:pStyle w:val="ListParagraph"/>
        <w:numPr>
          <w:ilvl w:val="1"/>
          <w:numId w:val="8"/>
        </w:numPr>
      </w:pPr>
      <w:r>
        <w:rPr>
          <w:rFonts w:eastAsiaTheme="minorEastAsia"/>
        </w:rPr>
        <w:t xml:space="preserve">Set </w:t>
      </w:r>
      <w:r w:rsidRPr="00B70785">
        <w:rPr>
          <w:rFonts w:eastAsiaTheme="minorEastAsia"/>
          <w:highlight w:val="green"/>
        </w:rPr>
        <w:t xml:space="preserve">Lattice constant [Angstrom] </w:t>
      </w:r>
      <m:oMath>
        <m:r>
          <w:rPr>
            <w:rFonts w:ascii="Cambria Math" w:hAnsi="Cambria Math"/>
            <w:highlight w:val="green"/>
          </w:rPr>
          <m:t>→</m:t>
        </m:r>
      </m:oMath>
      <w:r w:rsidRPr="00B70785">
        <w:rPr>
          <w:rFonts w:eastAsiaTheme="minorEastAsia"/>
          <w:highlight w:val="green"/>
        </w:rPr>
        <w:t xml:space="preserve"> 3.19</w:t>
      </w:r>
    </w:p>
    <w:p w14:paraId="5090A231" w14:textId="77777777" w:rsidR="00027DEC" w:rsidRPr="00027DEC" w:rsidRDefault="00B70785" w:rsidP="00027DEC">
      <w:pPr>
        <w:pStyle w:val="ListParagraph"/>
        <w:numPr>
          <w:ilvl w:val="1"/>
          <w:numId w:val="8"/>
        </w:numPr>
      </w:pPr>
      <w:r w:rsidRPr="00B70785">
        <w:rPr>
          <w:rFonts w:eastAsiaTheme="minorEastAsia"/>
        </w:rPr>
        <w:t xml:space="preserve">Set </w:t>
      </w:r>
      <w:r w:rsidRPr="00B70785">
        <w:rPr>
          <w:rFonts w:eastAsiaTheme="minorEastAsia"/>
          <w:highlight w:val="green"/>
        </w:rPr>
        <w:t xml:space="preserve">Atomic positions </w:t>
      </w:r>
      <m:oMath>
        <m:r>
          <w:rPr>
            <w:rFonts w:ascii="Cambria Math" w:hAnsi="Cambria Math"/>
            <w:highlight w:val="green"/>
          </w:rPr>
          <m:t>→</m:t>
        </m:r>
      </m:oMath>
      <w:r w:rsidRPr="00B70785">
        <w:rPr>
          <w:rFonts w:eastAsiaTheme="minorEastAsia"/>
          <w:highlight w:val="green"/>
        </w:rPr>
        <w:br/>
        <w:t>Mo 0.666667 0.33333 0.5</w:t>
      </w:r>
      <w:r w:rsidRPr="00B70785">
        <w:rPr>
          <w:rFonts w:eastAsiaTheme="minorEastAsia"/>
          <w:highlight w:val="green"/>
        </w:rPr>
        <w:br/>
        <w:t>S 0.33333 0.666667 0.37444</w:t>
      </w:r>
      <w:r w:rsidRPr="00B70785">
        <w:rPr>
          <w:rFonts w:eastAsiaTheme="minorEastAsia"/>
          <w:highlight w:val="green"/>
        </w:rPr>
        <w:br/>
        <w:t>S 0.33333 0.666667 0.62555</w:t>
      </w:r>
    </w:p>
    <w:p w14:paraId="40773BAE" w14:textId="77777777" w:rsidR="00027DEC" w:rsidRPr="00027DEC" w:rsidRDefault="00163344" w:rsidP="00027DEC">
      <w:pPr>
        <w:pStyle w:val="ListParagraph"/>
        <w:numPr>
          <w:ilvl w:val="0"/>
          <w:numId w:val="10"/>
        </w:numPr>
      </w:pPr>
      <w:r w:rsidRPr="00163344">
        <w:lastRenderedPageBreak/>
        <w:drawing>
          <wp:anchor distT="0" distB="0" distL="114300" distR="114300" simplePos="0" relativeHeight="251676672" behindDoc="0" locked="0" layoutInCell="1" allowOverlap="1" wp14:anchorId="5B05777B" wp14:editId="39BA5CC2">
            <wp:simplePos x="0" y="0"/>
            <wp:positionH relativeFrom="column">
              <wp:posOffset>695325</wp:posOffset>
            </wp:positionH>
            <wp:positionV relativeFrom="paragraph">
              <wp:posOffset>217805</wp:posOffset>
            </wp:positionV>
            <wp:extent cx="3900170" cy="3439160"/>
            <wp:effectExtent l="0" t="0" r="5080" b="88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0170" cy="3439160"/>
                    </a:xfrm>
                    <a:prstGeom prst="rect">
                      <a:avLst/>
                    </a:prstGeom>
                  </pic:spPr>
                </pic:pic>
              </a:graphicData>
            </a:graphic>
            <wp14:sizeRelH relativeFrom="margin">
              <wp14:pctWidth>0</wp14:pctWidth>
            </wp14:sizeRelH>
            <wp14:sizeRelV relativeFrom="margin">
              <wp14:pctHeight>0</wp14:pctHeight>
            </wp14:sizeRelV>
          </wp:anchor>
        </w:drawing>
      </w:r>
      <w:r w:rsidR="001E67DC" w:rsidRPr="00027DEC">
        <w:rPr>
          <w:rFonts w:eastAsiaTheme="minorEastAsia"/>
        </w:rPr>
        <w:t xml:space="preserve">In the </w:t>
      </w:r>
      <w:r w:rsidR="00F64990" w:rsidRPr="00027DEC">
        <w:rPr>
          <w:rFonts w:eastAsiaTheme="minorEastAsia"/>
        </w:rPr>
        <w:t>“Calculation Parameters” tab:</w:t>
      </w:r>
    </w:p>
    <w:p w14:paraId="1BB8A8A3" w14:textId="39244BA8" w:rsidR="00F64990" w:rsidRPr="00163344" w:rsidRDefault="00F64990" w:rsidP="00027DEC">
      <w:pPr>
        <w:pStyle w:val="ListParagraph"/>
        <w:numPr>
          <w:ilvl w:val="1"/>
          <w:numId w:val="10"/>
        </w:numPr>
      </w:pPr>
      <w:r w:rsidRPr="00027DEC">
        <w:rPr>
          <w:rFonts w:eastAsiaTheme="minorEastAsia"/>
        </w:rPr>
        <w:t>Set</w:t>
      </w:r>
      <w:r w:rsidR="00163344" w:rsidRPr="00027DEC">
        <w:rPr>
          <w:rFonts w:eastAsiaTheme="minorEastAsia"/>
        </w:rPr>
        <w:t xml:space="preserve"> </w:t>
      </w:r>
      <w:r w:rsidR="00163344" w:rsidRPr="00027DEC">
        <w:rPr>
          <w:rFonts w:eastAsiaTheme="minorEastAsia"/>
          <w:highlight w:val="green"/>
        </w:rPr>
        <w:t>K-Grid</w:t>
      </w:r>
      <w:r w:rsidRPr="00027DEC">
        <w:rPr>
          <w:rFonts w:eastAsiaTheme="minorEastAsia"/>
          <w:highlight w:val="green"/>
        </w:rPr>
        <w:t xml:space="preserve"> </w:t>
      </w:r>
      <m:oMath>
        <m:r>
          <w:rPr>
            <w:rFonts w:ascii="Cambria Math" w:hAnsi="Cambria Math"/>
            <w:highlight w:val="green"/>
          </w:rPr>
          <m:t>→</m:t>
        </m:r>
      </m:oMath>
      <w:r w:rsidR="00163344" w:rsidRPr="00027DEC">
        <w:rPr>
          <w:rFonts w:eastAsiaTheme="minorEastAsia"/>
          <w:highlight w:val="green"/>
        </w:rPr>
        <w:t xml:space="preserve"> 1 1 1 0 0 0</w:t>
      </w:r>
    </w:p>
    <w:p w14:paraId="418BFD1E" w14:textId="6ADC8C3B" w:rsidR="00163344" w:rsidRPr="00163344" w:rsidRDefault="00163344" w:rsidP="00027DEC">
      <w:pPr>
        <w:pStyle w:val="ListParagraph"/>
        <w:numPr>
          <w:ilvl w:val="1"/>
          <w:numId w:val="10"/>
        </w:numPr>
      </w:pPr>
      <w:r>
        <w:rPr>
          <w:rFonts w:eastAsiaTheme="minorEastAsia"/>
        </w:rPr>
        <w:t xml:space="preserve">Info: </w:t>
      </w:r>
      <w:r>
        <w:rPr>
          <w:rFonts w:eastAsiaTheme="minorEastAsia"/>
          <w:i/>
          <w:iCs/>
        </w:rPr>
        <w:t>These parameters give us a monolayer MoS</w:t>
      </w:r>
      <w:r w:rsidRPr="00163344">
        <w:rPr>
          <w:rFonts w:eastAsiaTheme="minorEastAsia"/>
          <w:i/>
          <w:iCs/>
          <w:vertAlign w:val="subscript"/>
        </w:rPr>
        <w:t>2</w:t>
      </w:r>
      <w:r>
        <w:rPr>
          <w:rFonts w:eastAsiaTheme="minorEastAsia"/>
          <w:i/>
          <w:iCs/>
        </w:rPr>
        <w:t xml:space="preserve"> whose unit cell has only three atoms. The default 30 Ry Wavefunction cutoff and K-Grid 1 1 1 0 0 0 (i.e. gamma point only) are weak approximations, but they will save a lot of computation time for the purposes of this tutorial. MoS</w:t>
      </w:r>
      <w:r>
        <w:rPr>
          <w:rFonts w:eastAsiaTheme="minorEastAsia"/>
          <w:i/>
          <w:iCs/>
          <w:vertAlign w:val="subscript"/>
        </w:rPr>
        <w:t>2</w:t>
      </w:r>
      <w:r>
        <w:rPr>
          <w:rFonts w:eastAsiaTheme="minorEastAsia"/>
          <w:i/>
          <w:iCs/>
        </w:rPr>
        <w:t xml:space="preserve"> has a band gap, so we treat it as an “insulator” for the “Occupations” option, despite being a well-known semiconductor.</w:t>
      </w:r>
    </w:p>
    <w:p w14:paraId="1E4E0439" w14:textId="6A971148" w:rsidR="00163344" w:rsidRDefault="00163344" w:rsidP="00027DEC">
      <w:pPr>
        <w:pStyle w:val="ListParagraph"/>
        <w:numPr>
          <w:ilvl w:val="0"/>
          <w:numId w:val="10"/>
        </w:numPr>
      </w:pPr>
      <w:r>
        <w:t>In the “Phonons” tab:</w:t>
      </w:r>
    </w:p>
    <w:p w14:paraId="407EEF91" w14:textId="79F6C183" w:rsidR="00163344" w:rsidRDefault="00163344" w:rsidP="00027DEC">
      <w:pPr>
        <w:pStyle w:val="ListParagraph"/>
        <w:numPr>
          <w:ilvl w:val="1"/>
          <w:numId w:val="10"/>
        </w:numPr>
      </w:pPr>
      <w:r>
        <w:t xml:space="preserve">Set </w:t>
      </w:r>
      <w:r w:rsidRPr="00163344">
        <w:rPr>
          <w:highlight w:val="green"/>
        </w:rPr>
        <w:t xml:space="preserve">Calculate only q=0? </w:t>
      </w:r>
      <m:oMath>
        <m:r>
          <w:rPr>
            <w:rFonts w:ascii="Cambria Math" w:hAnsi="Cambria Math"/>
            <w:highlight w:val="green"/>
          </w:rPr>
          <m:t>→</m:t>
        </m:r>
      </m:oMath>
      <w:r w:rsidRPr="00163344">
        <w:rPr>
          <w:rFonts w:eastAsiaTheme="minorEastAsia"/>
          <w:highlight w:val="green"/>
        </w:rPr>
        <w:t xml:space="preserve"> </w:t>
      </w:r>
      <w:r w:rsidRPr="00163344">
        <w:rPr>
          <w:highlight w:val="green"/>
        </w:rPr>
        <w:t>yes</w:t>
      </w:r>
    </w:p>
    <w:p w14:paraId="0A6AA6AB" w14:textId="71D24ABB" w:rsidR="00163344" w:rsidRDefault="00163344" w:rsidP="00027DEC">
      <w:pPr>
        <w:pStyle w:val="ListParagraph"/>
        <w:numPr>
          <w:ilvl w:val="1"/>
          <w:numId w:val="10"/>
        </w:numPr>
      </w:pPr>
      <w:r>
        <w:t xml:space="preserve">Set </w:t>
      </w:r>
      <w:r w:rsidRPr="00163344">
        <w:rPr>
          <w:highlight w:val="green"/>
        </w:rPr>
        <w:t>Calculate Raman intensities</w:t>
      </w:r>
      <w:r w:rsidRPr="00163344">
        <w:rPr>
          <w:highlight w:val="green"/>
        </w:rPr>
        <w:t xml:space="preserve">? </w:t>
      </w:r>
      <m:oMath>
        <m:r>
          <w:rPr>
            <w:rFonts w:ascii="Cambria Math" w:hAnsi="Cambria Math"/>
            <w:highlight w:val="green"/>
          </w:rPr>
          <m:t>→</m:t>
        </m:r>
      </m:oMath>
      <w:r w:rsidRPr="00163344">
        <w:rPr>
          <w:highlight w:val="green"/>
        </w:rPr>
        <w:t xml:space="preserve"> yes</w:t>
      </w:r>
    </w:p>
    <w:p w14:paraId="52E2E74D" w14:textId="648B864E" w:rsidR="00163344" w:rsidRDefault="00163344" w:rsidP="00027DEC">
      <w:pPr>
        <w:pStyle w:val="ListParagraph"/>
        <w:numPr>
          <w:ilvl w:val="1"/>
          <w:numId w:val="10"/>
        </w:numPr>
      </w:pPr>
      <w:r>
        <w:t xml:space="preserve">Set </w:t>
      </w:r>
      <w:r w:rsidRPr="00163344">
        <w:rPr>
          <w:highlight w:val="green"/>
        </w:rPr>
        <w:t xml:space="preserve">Visualize q=0 mode in </w:t>
      </w:r>
      <w:proofErr w:type="spellStart"/>
      <w:r w:rsidRPr="00163344">
        <w:rPr>
          <w:highlight w:val="green"/>
        </w:rPr>
        <w:t>XCrySDen</w:t>
      </w:r>
      <w:proofErr w:type="spellEnd"/>
      <w:r w:rsidRPr="00163344">
        <w:rPr>
          <w:highlight w:val="green"/>
        </w:rPr>
        <w:t xml:space="preserve">? </w:t>
      </w:r>
      <m:oMath>
        <m:r>
          <w:rPr>
            <w:rFonts w:ascii="Cambria Math" w:hAnsi="Cambria Math"/>
            <w:highlight w:val="green"/>
          </w:rPr>
          <m:t>→</m:t>
        </m:r>
      </m:oMath>
      <w:r w:rsidRPr="00163344">
        <w:rPr>
          <w:highlight w:val="green"/>
        </w:rPr>
        <w:t xml:space="preserve"> yes</w:t>
      </w:r>
    </w:p>
    <w:p w14:paraId="13F2901A" w14:textId="158BDB9B" w:rsidR="009318C0" w:rsidRDefault="00910757" w:rsidP="00027DEC">
      <w:pPr>
        <w:pStyle w:val="ListParagraph"/>
        <w:numPr>
          <w:ilvl w:val="0"/>
          <w:numId w:val="10"/>
        </w:numPr>
      </w:pPr>
      <w:r w:rsidRPr="0024724A">
        <w:drawing>
          <wp:anchor distT="0" distB="0" distL="114300" distR="114300" simplePos="0" relativeHeight="251678720" behindDoc="0" locked="0" layoutInCell="1" allowOverlap="1" wp14:anchorId="53C12600" wp14:editId="23C1A213">
            <wp:simplePos x="0" y="0"/>
            <wp:positionH relativeFrom="column">
              <wp:posOffset>3771900</wp:posOffset>
            </wp:positionH>
            <wp:positionV relativeFrom="paragraph">
              <wp:posOffset>344170</wp:posOffset>
            </wp:positionV>
            <wp:extent cx="1221740" cy="143764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1740" cy="1437640"/>
                    </a:xfrm>
                    <a:prstGeom prst="rect">
                      <a:avLst/>
                    </a:prstGeom>
                  </pic:spPr>
                </pic:pic>
              </a:graphicData>
            </a:graphic>
            <wp14:sizeRelH relativeFrom="margin">
              <wp14:pctWidth>0</wp14:pctWidth>
            </wp14:sizeRelH>
            <wp14:sizeRelV relativeFrom="margin">
              <wp14:pctHeight>0</wp14:pctHeight>
            </wp14:sizeRelV>
          </wp:anchor>
        </w:drawing>
      </w:r>
      <w:r w:rsidRPr="0024724A">
        <w:drawing>
          <wp:anchor distT="0" distB="0" distL="114300" distR="114300" simplePos="0" relativeHeight="251677696" behindDoc="0" locked="0" layoutInCell="1" allowOverlap="1" wp14:anchorId="7861E6E6" wp14:editId="60477068">
            <wp:simplePos x="0" y="0"/>
            <wp:positionH relativeFrom="column">
              <wp:posOffset>775970</wp:posOffset>
            </wp:positionH>
            <wp:positionV relativeFrom="paragraph">
              <wp:posOffset>403860</wp:posOffset>
            </wp:positionV>
            <wp:extent cx="2726690" cy="13144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6690" cy="1314450"/>
                    </a:xfrm>
                    <a:prstGeom prst="rect">
                      <a:avLst/>
                    </a:prstGeom>
                  </pic:spPr>
                </pic:pic>
              </a:graphicData>
            </a:graphic>
            <wp14:sizeRelH relativeFrom="margin">
              <wp14:pctWidth>0</wp14:pctWidth>
            </wp14:sizeRelH>
            <wp14:sizeRelV relativeFrom="margin">
              <wp14:pctHeight>0</wp14:pctHeight>
            </wp14:sizeRelV>
          </wp:anchor>
        </w:drawing>
      </w:r>
      <w:r w:rsidR="009318C0" w:rsidRPr="0024724A">
        <w:rPr>
          <w:b/>
          <w:bCs/>
        </w:rPr>
        <w:t>Simulate</w:t>
      </w:r>
      <w:r w:rsidR="009318C0">
        <w:t>.</w:t>
      </w:r>
      <w:r w:rsidR="0024724A">
        <w:br/>
      </w:r>
    </w:p>
    <w:p w14:paraId="696767E9" w14:textId="53D460A1" w:rsidR="009318C0" w:rsidRPr="0024724A" w:rsidRDefault="009318C0" w:rsidP="00027DEC">
      <w:pPr>
        <w:pStyle w:val="ListParagraph"/>
        <w:numPr>
          <w:ilvl w:val="1"/>
          <w:numId w:val="10"/>
        </w:numPr>
      </w:pPr>
      <w:r w:rsidRPr="0024724A">
        <w:t xml:space="preserve">The resulting tabs that appeared </w:t>
      </w:r>
      <w:r w:rsidR="0024724A" w:rsidRPr="0024724A">
        <w:t>a</w:t>
      </w:r>
      <w:r w:rsidRPr="0024724A">
        <w:t xml:space="preserve">re </w:t>
      </w:r>
      <w:proofErr w:type="spellStart"/>
      <w:r w:rsidRPr="0024724A">
        <w:t>XCrySDen’s</w:t>
      </w:r>
      <w:proofErr w:type="spellEnd"/>
      <w:r w:rsidRPr="0024724A">
        <w:t xml:space="preserve"> visualization and a slider for the </w:t>
      </w:r>
      <w:r w:rsidR="0024724A" w:rsidRPr="0024724A">
        <w:t xml:space="preserve">different phonon modes. There should be </w:t>
      </w:r>
      <m:oMath>
        <m:r>
          <w:rPr>
            <w:rFonts w:ascii="Cambria Math" w:hAnsi="Cambria Math"/>
          </w:rPr>
          <m:t>3×</m:t>
        </m:r>
        <m:r>
          <w:rPr>
            <w:rFonts w:ascii="Cambria Math" w:eastAsiaTheme="minorEastAsia" w:hAnsi="Cambria Math"/>
          </w:rPr>
          <m:t>number of atoms</m:t>
        </m:r>
      </m:oMath>
      <w:r w:rsidR="0024724A" w:rsidRPr="0024724A">
        <w:rPr>
          <w:rFonts w:eastAsiaTheme="minorEastAsia"/>
        </w:rPr>
        <w:t xml:space="preserve"> modes, one for each degree of freedom. Click on the </w:t>
      </w:r>
      <w:proofErr w:type="spellStart"/>
      <w:r w:rsidR="0024724A" w:rsidRPr="0024724A">
        <w:rPr>
          <w:rFonts w:eastAsiaTheme="minorEastAsia"/>
        </w:rPr>
        <w:t>XCrySDen</w:t>
      </w:r>
      <w:proofErr w:type="spellEnd"/>
      <w:r w:rsidR="0024724A" w:rsidRPr="0024724A">
        <w:rPr>
          <w:rFonts w:eastAsiaTheme="minorEastAsia"/>
        </w:rPr>
        <w:t xml:space="preserve"> tab to see the visualization. Press “f” </w:t>
      </w:r>
      <w:r w:rsidR="0024724A" w:rsidRPr="0024724A">
        <w:rPr>
          <w:rFonts w:eastAsiaTheme="minorEastAsia"/>
        </w:rPr>
        <w:lastRenderedPageBreak/>
        <w:t>or navigate the menu to “Display</w:t>
      </w:r>
      <w:r w:rsidR="0024724A" w:rsidRPr="0024724A">
        <w:t xml:space="preserve"> </w:t>
      </w:r>
      <m:oMath>
        <m:r>
          <w:rPr>
            <w:rFonts w:ascii="Cambria Math" w:hAnsi="Cambria Math"/>
          </w:rPr>
          <m:t>→</m:t>
        </m:r>
      </m:oMath>
      <w:r w:rsidR="0024724A" w:rsidRPr="0024724A">
        <w:rPr>
          <w:rFonts w:eastAsiaTheme="minorEastAsia"/>
        </w:rPr>
        <w:t xml:space="preserve"> Forces” within </w:t>
      </w:r>
      <w:proofErr w:type="spellStart"/>
      <w:r w:rsidR="0024724A" w:rsidRPr="0024724A">
        <w:rPr>
          <w:rFonts w:eastAsiaTheme="minorEastAsia"/>
        </w:rPr>
        <w:t>XCrySDen</w:t>
      </w:r>
      <w:proofErr w:type="spellEnd"/>
      <w:r w:rsidR="0024724A" w:rsidRPr="0024724A">
        <w:rPr>
          <w:rFonts w:eastAsiaTheme="minorEastAsia"/>
        </w:rPr>
        <w:t>. This shows arrows that represent the phonon modes</w:t>
      </w:r>
      <w:r w:rsidR="0024724A">
        <w:rPr>
          <w:rFonts w:eastAsiaTheme="minorEastAsia"/>
        </w:rPr>
        <w:t>.</w:t>
      </w:r>
    </w:p>
    <w:p w14:paraId="38273C1F" w14:textId="62645D14" w:rsidR="0024724A" w:rsidRDefault="0024724A" w:rsidP="00027DEC">
      <w:pPr>
        <w:pStyle w:val="ListParagraph"/>
        <w:numPr>
          <w:ilvl w:val="1"/>
          <w:numId w:val="10"/>
        </w:numPr>
      </w:pPr>
      <w:r>
        <w:rPr>
          <w:rFonts w:eastAsiaTheme="minorEastAsia"/>
        </w:rPr>
        <w:t>Click the “Quantum Espresso Plane-Wave Density-Functional Theory” tab.</w:t>
      </w:r>
      <w:r w:rsidRPr="0024724A">
        <w:rPr>
          <w:noProof/>
        </w:rPr>
        <w:t xml:space="preserve"> </w:t>
      </w:r>
    </w:p>
    <w:p w14:paraId="3F53BA15" w14:textId="73888F23" w:rsidR="0024724A" w:rsidRPr="0024724A" w:rsidRDefault="00EB6378" w:rsidP="00027DEC">
      <w:pPr>
        <w:pStyle w:val="ListParagraph"/>
        <w:numPr>
          <w:ilvl w:val="1"/>
          <w:numId w:val="10"/>
        </w:numPr>
      </w:pPr>
      <w:r w:rsidRPr="00EB6378">
        <w:drawing>
          <wp:anchor distT="0" distB="0" distL="114300" distR="114300" simplePos="0" relativeHeight="251679744" behindDoc="0" locked="0" layoutInCell="1" allowOverlap="1" wp14:anchorId="6CD64349" wp14:editId="2DC2E189">
            <wp:simplePos x="0" y="0"/>
            <wp:positionH relativeFrom="column">
              <wp:posOffset>3276600</wp:posOffset>
            </wp:positionH>
            <wp:positionV relativeFrom="paragraph">
              <wp:posOffset>705485</wp:posOffset>
            </wp:positionV>
            <wp:extent cx="2076450" cy="132461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50" cy="1324610"/>
                    </a:xfrm>
                    <a:prstGeom prst="rect">
                      <a:avLst/>
                    </a:prstGeom>
                  </pic:spPr>
                </pic:pic>
              </a:graphicData>
            </a:graphic>
            <wp14:sizeRelH relativeFrom="margin">
              <wp14:pctWidth>0</wp14:pctWidth>
            </wp14:sizeRelH>
            <wp14:sizeRelV relativeFrom="margin">
              <wp14:pctHeight>0</wp14:pctHeight>
            </wp14:sizeRelV>
          </wp:anchor>
        </w:drawing>
      </w:r>
      <w:r w:rsidR="00910757">
        <w:t xml:space="preserve">Click the Raman Spectrum plot to view the spectra. </w:t>
      </w:r>
      <w:r w:rsidR="00910757" w:rsidRPr="00910757">
        <w:rPr>
          <w:i/>
          <w:iCs/>
        </w:rPr>
        <w:t>Use left clicks to encircle the important active region, how well does it match the reference</w:t>
      </w:r>
      <w:r>
        <w:rPr>
          <w:i/>
          <w:iCs/>
        </w:rPr>
        <w:t xml:space="preserve">: (O. </w:t>
      </w:r>
      <w:proofErr w:type="spellStart"/>
      <w:r>
        <w:rPr>
          <w:i/>
          <w:iCs/>
        </w:rPr>
        <w:t>Acikgoz</w:t>
      </w:r>
      <w:proofErr w:type="spellEnd"/>
      <w:r>
        <w:rPr>
          <w:i/>
          <w:iCs/>
        </w:rPr>
        <w:t xml:space="preserve"> et al. </w:t>
      </w:r>
      <w:proofErr w:type="spellStart"/>
      <w:r>
        <w:rPr>
          <w:i/>
          <w:iCs/>
        </w:rPr>
        <w:t>Nanotechnol</w:t>
      </w:r>
      <w:proofErr w:type="spellEnd"/>
      <w:r>
        <w:rPr>
          <w:i/>
          <w:iCs/>
        </w:rPr>
        <w:t xml:space="preserve">. 34, 015706, </w:t>
      </w:r>
      <w:proofErr w:type="spellStart"/>
      <w:r>
        <w:rPr>
          <w:i/>
          <w:iCs/>
        </w:rPr>
        <w:t>expt</w:t>
      </w:r>
      <w:proofErr w:type="spellEnd"/>
      <w:r>
        <w:rPr>
          <w:i/>
          <w:iCs/>
        </w:rPr>
        <w:t xml:space="preserve"> left, computation right, black lines are for MoS</w:t>
      </w:r>
      <w:r>
        <w:rPr>
          <w:i/>
          <w:iCs/>
        </w:rPr>
        <w:softHyphen/>
      </w:r>
      <w:r w:rsidRPr="00EB6378">
        <w:rPr>
          <w:i/>
          <w:iCs/>
          <w:vertAlign w:val="subscript"/>
        </w:rPr>
        <w:t>2</w:t>
      </w:r>
      <w:r>
        <w:rPr>
          <w:i/>
          <w:iCs/>
        </w:rPr>
        <w:t>)</w:t>
      </w:r>
      <w:r w:rsidR="00910757" w:rsidRPr="00910757">
        <w:rPr>
          <w:i/>
          <w:iCs/>
        </w:rPr>
        <w:t>?</w:t>
      </w:r>
      <w:r w:rsidR="00910757">
        <w:rPr>
          <w:i/>
          <w:iCs/>
        </w:rPr>
        <w:t xml:space="preserve"> </w:t>
      </w:r>
      <w:r>
        <w:rPr>
          <w:i/>
          <w:iCs/>
        </w:rPr>
        <w:br/>
      </w:r>
      <w:r w:rsidRPr="00EB6378">
        <w:drawing>
          <wp:inline distT="0" distB="0" distL="0" distR="0" wp14:anchorId="142C49F4" wp14:editId="1407D5A3">
            <wp:extent cx="2033588" cy="1653984"/>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9108" cy="1674741"/>
                    </a:xfrm>
                    <a:prstGeom prst="rect">
                      <a:avLst/>
                    </a:prstGeom>
                  </pic:spPr>
                </pic:pic>
              </a:graphicData>
            </a:graphic>
          </wp:inline>
        </w:drawing>
      </w:r>
    </w:p>
    <w:p w14:paraId="11118112" w14:textId="20BBA5A4" w:rsidR="00A84307" w:rsidRDefault="00A84307" w:rsidP="00A84307">
      <w:r>
        <w:br w:type="page"/>
      </w:r>
    </w:p>
    <w:p w14:paraId="7AB96B1A" w14:textId="77777777" w:rsidR="00027DEC" w:rsidRDefault="00527949" w:rsidP="00027DEC">
      <w:pPr>
        <w:pStyle w:val="ListParagraph"/>
        <w:numPr>
          <w:ilvl w:val="0"/>
          <w:numId w:val="1"/>
        </w:numPr>
      </w:pPr>
      <w:r>
        <w:lastRenderedPageBreak/>
        <w:t>Classical Monte Carlo</w:t>
      </w:r>
    </w:p>
    <w:p w14:paraId="4167CF12" w14:textId="77777777" w:rsidR="00027DEC" w:rsidRDefault="00C64D19" w:rsidP="00027DEC">
      <w:pPr>
        <w:pStyle w:val="ListParagraph"/>
        <w:numPr>
          <w:ilvl w:val="0"/>
          <w:numId w:val="5"/>
        </w:numPr>
      </w:pPr>
      <w:r>
        <w:t xml:space="preserve">Select the </w:t>
      </w:r>
      <w:r w:rsidRPr="00027DEC">
        <w:rPr>
          <w:b/>
          <w:bCs/>
        </w:rPr>
        <w:t>Monte Carlo (Ising Model)</w:t>
      </w:r>
      <w:r>
        <w:t xml:space="preserve"> Application</w:t>
      </w:r>
    </w:p>
    <w:p w14:paraId="10A0E6DB" w14:textId="77777777" w:rsidR="00027DEC" w:rsidRPr="00027DEC" w:rsidRDefault="00A84307" w:rsidP="00027DEC">
      <w:pPr>
        <w:pStyle w:val="ListParagraph"/>
        <w:numPr>
          <w:ilvl w:val="0"/>
          <w:numId w:val="5"/>
        </w:numPr>
      </w:pPr>
      <w:r>
        <w:t>Info</w:t>
      </w:r>
      <w:r w:rsidR="00C64D19">
        <w:t xml:space="preserve">: </w:t>
      </w:r>
      <w:r w:rsidR="00C64D19" w:rsidRPr="00027DEC">
        <w:rPr>
          <w:i/>
          <w:iCs/>
        </w:rPr>
        <w:t xml:space="preserve">The Ising Model is a simplistic model of ferromagnetism often used to introduce Monte Carlo simulation in statistical mechanics. The energetics of the system involve competing components between a polarizable region of matter and an external field, a region and a neighboring region, and heat-mediated entropy. The “regions of matter” are represented as sites with variable </w:t>
      </w:r>
      <w:r w:rsidR="00A345DE" w:rsidRPr="00027DEC">
        <w:rPr>
          <w:i/>
          <w:iCs/>
        </w:rPr>
        <w:t xml:space="preserve">polarization. </w:t>
      </w:r>
      <w:r w:rsidR="009B64B1" w:rsidRPr="00027DEC">
        <w:rPr>
          <w:i/>
          <w:iCs/>
        </w:rPr>
        <w:t>The model has two main tabs: the “Ising Simulations” tab shows a real-time animation representing a cross-section of the system while the “Set Model Parameters” tab (when Change Parameters is selected) allows us to manipulate the model’s control knobs.</w:t>
      </w:r>
    </w:p>
    <w:p w14:paraId="18299614" w14:textId="77777777" w:rsidR="00027DEC" w:rsidRDefault="00A345DE" w:rsidP="00027DEC">
      <w:pPr>
        <w:pStyle w:val="ListParagraph"/>
        <w:numPr>
          <w:ilvl w:val="0"/>
          <w:numId w:val="5"/>
        </w:numPr>
      </w:pPr>
      <w:r>
        <w:t>Select “Change Parameters”</w:t>
      </w:r>
      <w:r w:rsidR="009B64B1">
        <w:t>:</w:t>
      </w:r>
    </w:p>
    <w:p w14:paraId="3F12D469" w14:textId="77777777" w:rsidR="00027DEC" w:rsidRPr="00027DEC" w:rsidRDefault="00A345DE" w:rsidP="00027DEC">
      <w:pPr>
        <w:pStyle w:val="ListParagraph"/>
        <w:numPr>
          <w:ilvl w:val="1"/>
          <w:numId w:val="5"/>
        </w:numPr>
      </w:pPr>
      <w:r>
        <w:t xml:space="preserve">Set </w:t>
      </w:r>
      <w:r w:rsidRPr="00185C12">
        <w:rPr>
          <w:highlight w:val="green"/>
        </w:rPr>
        <w:t xml:space="preserve">Number of </w:t>
      </w:r>
      <w:r w:rsidR="009B64B1" w:rsidRPr="00185C12">
        <w:rPr>
          <w:highlight w:val="green"/>
        </w:rPr>
        <w:t>x</w:t>
      </w:r>
      <w:r w:rsidRPr="00185C12">
        <w:rPr>
          <w:highlight w:val="green"/>
        </w:rPr>
        <w:t xml:space="preserve"> lattice points </w:t>
      </w:r>
      <m:oMath>
        <m:r>
          <w:rPr>
            <w:rFonts w:ascii="Cambria Math" w:hAnsi="Cambria Math"/>
            <w:highlight w:val="green"/>
          </w:rPr>
          <m:t>→</m:t>
        </m:r>
      </m:oMath>
      <w:r w:rsidRPr="00185C12">
        <w:rPr>
          <w:rFonts w:eastAsiaTheme="minorEastAsia"/>
          <w:highlight w:val="green"/>
        </w:rPr>
        <w:t xml:space="preserve"> 1</w:t>
      </w:r>
      <w:r w:rsidR="009B64B1" w:rsidRPr="00185C12">
        <w:rPr>
          <w:rFonts w:eastAsiaTheme="minorEastAsia"/>
          <w:highlight w:val="green"/>
        </w:rPr>
        <w:t>0</w:t>
      </w:r>
    </w:p>
    <w:p w14:paraId="60CC6868" w14:textId="77777777" w:rsidR="00027DEC" w:rsidRPr="00027DEC" w:rsidRDefault="009B64B1" w:rsidP="00027DEC">
      <w:pPr>
        <w:pStyle w:val="ListParagraph"/>
        <w:numPr>
          <w:ilvl w:val="1"/>
          <w:numId w:val="5"/>
        </w:numPr>
      </w:pPr>
      <w:r>
        <w:t xml:space="preserve">Set </w:t>
      </w:r>
      <w:r w:rsidRPr="00185C12">
        <w:rPr>
          <w:highlight w:val="green"/>
        </w:rPr>
        <w:t xml:space="preserve">Number of y lattice points  </w:t>
      </w:r>
      <m:oMath>
        <m:r>
          <w:rPr>
            <w:rFonts w:ascii="Cambria Math" w:hAnsi="Cambria Math"/>
            <w:highlight w:val="green"/>
          </w:rPr>
          <m:t>→</m:t>
        </m:r>
      </m:oMath>
      <w:r w:rsidRPr="00185C12">
        <w:rPr>
          <w:rFonts w:eastAsiaTheme="minorEastAsia"/>
          <w:highlight w:val="green"/>
        </w:rPr>
        <w:t xml:space="preserve"> 1</w:t>
      </w:r>
      <w:r w:rsidRPr="00185C12">
        <w:rPr>
          <w:rFonts w:eastAsiaTheme="minorEastAsia"/>
          <w:highlight w:val="green"/>
        </w:rPr>
        <w:t>0</w:t>
      </w:r>
    </w:p>
    <w:p w14:paraId="7B29E887" w14:textId="77777777" w:rsidR="00027DEC" w:rsidRPr="00027DEC" w:rsidRDefault="009B64B1" w:rsidP="00027DEC">
      <w:pPr>
        <w:pStyle w:val="ListParagraph"/>
        <w:numPr>
          <w:ilvl w:val="1"/>
          <w:numId w:val="5"/>
        </w:numPr>
      </w:pPr>
      <w:r>
        <w:t>S</w:t>
      </w:r>
      <w:r>
        <w:t xml:space="preserve">et </w:t>
      </w:r>
      <w:r w:rsidRPr="00185C12">
        <w:rPr>
          <w:highlight w:val="green"/>
        </w:rPr>
        <w:t xml:space="preserve">Number of </w:t>
      </w:r>
      <w:r w:rsidRPr="00185C12">
        <w:rPr>
          <w:highlight w:val="green"/>
        </w:rPr>
        <w:t>z</w:t>
      </w:r>
      <w:r w:rsidRPr="00185C12">
        <w:rPr>
          <w:highlight w:val="green"/>
        </w:rPr>
        <w:t xml:space="preserve"> lattice points  </w:t>
      </w:r>
      <m:oMath>
        <m:r>
          <w:rPr>
            <w:rFonts w:ascii="Cambria Math" w:hAnsi="Cambria Math"/>
            <w:highlight w:val="green"/>
          </w:rPr>
          <m:t>→</m:t>
        </m:r>
      </m:oMath>
      <w:r w:rsidRPr="00185C12">
        <w:rPr>
          <w:rFonts w:eastAsiaTheme="minorEastAsia"/>
          <w:highlight w:val="green"/>
        </w:rPr>
        <w:t xml:space="preserve"> </w:t>
      </w:r>
      <w:r w:rsidR="00971BFD" w:rsidRPr="00185C12">
        <w:rPr>
          <w:rFonts w:eastAsiaTheme="minorEastAsia"/>
          <w:highlight w:val="green"/>
        </w:rPr>
        <w:t>2</w:t>
      </w:r>
    </w:p>
    <w:p w14:paraId="368127F6" w14:textId="77777777" w:rsidR="00027DEC" w:rsidRPr="00027DEC" w:rsidRDefault="009B64B1" w:rsidP="00027DEC">
      <w:pPr>
        <w:pStyle w:val="ListParagraph"/>
        <w:numPr>
          <w:ilvl w:val="1"/>
          <w:numId w:val="5"/>
        </w:numPr>
      </w:pPr>
      <w:r>
        <w:t>S</w:t>
      </w:r>
      <w:r>
        <w:t xml:space="preserve">et </w:t>
      </w:r>
      <w:r w:rsidRPr="00185C12">
        <w:rPr>
          <w:highlight w:val="green"/>
        </w:rPr>
        <w:t xml:space="preserve">Number of y lattice points  </w:t>
      </w:r>
      <m:oMath>
        <m:r>
          <w:rPr>
            <w:rFonts w:ascii="Cambria Math" w:hAnsi="Cambria Math"/>
            <w:highlight w:val="green"/>
          </w:rPr>
          <m:t>→</m:t>
        </m:r>
      </m:oMath>
      <w:r w:rsidRPr="00185C12">
        <w:rPr>
          <w:rFonts w:eastAsiaTheme="minorEastAsia"/>
          <w:highlight w:val="green"/>
        </w:rPr>
        <w:t xml:space="preserve"> 10</w:t>
      </w:r>
    </w:p>
    <w:p w14:paraId="3A8FBAB8" w14:textId="77777777" w:rsidR="00027DEC" w:rsidRDefault="009B64B1" w:rsidP="00027DEC">
      <w:pPr>
        <w:pStyle w:val="ListParagraph"/>
        <w:numPr>
          <w:ilvl w:val="1"/>
          <w:numId w:val="5"/>
        </w:numPr>
      </w:pPr>
      <w:r>
        <w:t>Select “Set These Parameters” and return to the “Ising Simulations” tab.</w:t>
      </w:r>
    </w:p>
    <w:p w14:paraId="3AE5F6FD" w14:textId="77777777" w:rsidR="00027DEC" w:rsidRDefault="009B64B1" w:rsidP="00027DEC">
      <w:pPr>
        <w:pStyle w:val="ListParagraph"/>
        <w:numPr>
          <w:ilvl w:val="1"/>
          <w:numId w:val="5"/>
        </w:numPr>
      </w:pPr>
      <w:r>
        <w:t>Select “Start” to begin the simulation.</w:t>
      </w:r>
    </w:p>
    <w:p w14:paraId="0D87DEE0" w14:textId="714B88B7" w:rsidR="00027DEC" w:rsidRPr="00027DEC" w:rsidRDefault="009B64B1" w:rsidP="00027DEC">
      <w:pPr>
        <w:pStyle w:val="ListParagraph"/>
        <w:numPr>
          <w:ilvl w:val="1"/>
          <w:numId w:val="5"/>
        </w:numPr>
      </w:pPr>
      <w:r>
        <w:t xml:space="preserve">Info: </w:t>
      </w:r>
      <w:r w:rsidR="00331157" w:rsidRPr="00027DEC">
        <w:rPr>
          <w:i/>
          <w:iCs/>
        </w:rPr>
        <w:t>By default, the polarization was constrained to the z-axis only</w:t>
      </w:r>
      <w:r w:rsidR="00331157">
        <w:t xml:space="preserve">. </w:t>
      </w:r>
      <w:r w:rsidR="00331157" w:rsidRPr="00027DEC">
        <w:rPr>
          <w:i/>
          <w:iCs/>
        </w:rPr>
        <w:t xml:space="preserve">We are seeing a view along the z-axis of an </w:t>
      </w:r>
      <w:proofErr w:type="spellStart"/>
      <w:r w:rsidR="00331157" w:rsidRPr="00027DEC">
        <w:rPr>
          <w:i/>
          <w:iCs/>
        </w:rPr>
        <w:t>xy</w:t>
      </w:r>
      <w:proofErr w:type="spellEnd"/>
      <w:r w:rsidR="00331157" w:rsidRPr="00027DEC">
        <w:rPr>
          <w:i/>
          <w:iCs/>
        </w:rPr>
        <w:t xml:space="preserve">-slice of the material, with blue being polarized in +z and orange being -z. </w:t>
      </w:r>
      <w:r w:rsidRPr="00027DEC">
        <w:rPr>
          <w:i/>
          <w:iCs/>
        </w:rPr>
        <w:t>The temperature and external field were set to 0, while J was set to +1.0. In this configuration, the system prioritizes large domains because neighboring</w:t>
      </w:r>
      <w:r w:rsidR="00971BFD" w:rsidRPr="00027DEC">
        <w:rPr>
          <w:i/>
          <w:iCs/>
        </w:rPr>
        <w:t>. What is expected if we set J to -1.0? What physical systems do these relate to?</w:t>
      </w:r>
    </w:p>
    <w:p w14:paraId="30B211AF" w14:textId="79C8C817" w:rsidR="00027DEC" w:rsidRDefault="00027DEC" w:rsidP="00027DEC">
      <w:pPr>
        <w:pStyle w:val="ListParagraph"/>
        <w:numPr>
          <w:ilvl w:val="1"/>
          <w:numId w:val="5"/>
        </w:numPr>
      </w:pPr>
      <w:r w:rsidRPr="009B64B1">
        <w:drawing>
          <wp:anchor distT="0" distB="0" distL="114300" distR="114300" simplePos="0" relativeHeight="251661312" behindDoc="0" locked="0" layoutInCell="1" allowOverlap="1" wp14:anchorId="060586DC" wp14:editId="54291FE4">
            <wp:simplePos x="0" y="0"/>
            <wp:positionH relativeFrom="column">
              <wp:posOffset>742950</wp:posOffset>
            </wp:positionH>
            <wp:positionV relativeFrom="paragraph">
              <wp:posOffset>237490</wp:posOffset>
            </wp:positionV>
            <wp:extent cx="3354705" cy="2933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4705" cy="2933700"/>
                    </a:xfrm>
                    <a:prstGeom prst="rect">
                      <a:avLst/>
                    </a:prstGeom>
                  </pic:spPr>
                </pic:pic>
              </a:graphicData>
            </a:graphic>
            <wp14:sizeRelH relativeFrom="page">
              <wp14:pctWidth>0</wp14:pctWidth>
            </wp14:sizeRelH>
            <wp14:sizeRelV relativeFrom="page">
              <wp14:pctHeight>0</wp14:pctHeight>
            </wp14:sizeRelV>
          </wp:anchor>
        </w:drawing>
      </w:r>
      <w:r w:rsidR="00971BFD">
        <w:t>Select “Stop” to pause the simulation.</w:t>
      </w:r>
    </w:p>
    <w:p w14:paraId="606F7813" w14:textId="77777777" w:rsidR="00027DEC" w:rsidRDefault="00971BFD" w:rsidP="00027DEC">
      <w:pPr>
        <w:pStyle w:val="ListParagraph"/>
        <w:numPr>
          <w:ilvl w:val="1"/>
          <w:numId w:val="5"/>
        </w:numPr>
      </w:pPr>
      <w:r>
        <w:t xml:space="preserve">In the “Set Model Parameters” tab, Change the constraint from “Constrained to Z Axis” to </w:t>
      </w:r>
      <w:r w:rsidR="00331157">
        <w:t>“Constrained to XY Plane”</w:t>
      </w:r>
    </w:p>
    <w:p w14:paraId="7056611D" w14:textId="77777777" w:rsidR="00027DEC" w:rsidRPr="00027DEC" w:rsidRDefault="00331157" w:rsidP="00027DEC">
      <w:pPr>
        <w:pStyle w:val="ListParagraph"/>
        <w:numPr>
          <w:ilvl w:val="1"/>
          <w:numId w:val="5"/>
        </w:numPr>
      </w:pPr>
      <w:r>
        <w:t xml:space="preserve">Set </w:t>
      </w:r>
      <w:r w:rsidRPr="00185C12">
        <w:rPr>
          <w:highlight w:val="green"/>
        </w:rPr>
        <w:t xml:space="preserve">Temperature </w:t>
      </w:r>
      <m:oMath>
        <m:r>
          <w:rPr>
            <w:rFonts w:ascii="Cambria Math" w:hAnsi="Cambria Math"/>
            <w:highlight w:val="green"/>
          </w:rPr>
          <m:t>→</m:t>
        </m:r>
      </m:oMath>
      <w:r w:rsidRPr="00185C12">
        <w:rPr>
          <w:rFonts w:eastAsiaTheme="minorEastAsia"/>
          <w:highlight w:val="green"/>
        </w:rPr>
        <w:t xml:space="preserve"> 10.0</w:t>
      </w:r>
    </w:p>
    <w:p w14:paraId="6D32138C" w14:textId="77777777" w:rsidR="00027DEC" w:rsidRPr="00027DEC" w:rsidRDefault="00331157" w:rsidP="00027DEC">
      <w:pPr>
        <w:pStyle w:val="ListParagraph"/>
        <w:numPr>
          <w:ilvl w:val="1"/>
          <w:numId w:val="5"/>
        </w:numPr>
      </w:pPr>
      <w:r w:rsidRPr="00027DEC">
        <w:rPr>
          <w:rFonts w:eastAsiaTheme="minorEastAsia"/>
        </w:rPr>
        <w:t xml:space="preserve">Set </w:t>
      </w:r>
      <w:r w:rsidRPr="00185C12">
        <w:rPr>
          <w:rFonts w:eastAsiaTheme="minorEastAsia"/>
          <w:highlight w:val="green"/>
        </w:rPr>
        <w:t>Temperature Decline Percentage</w:t>
      </w:r>
      <w:r w:rsidRPr="00185C12">
        <w:rPr>
          <w:highlight w:val="green"/>
        </w:rPr>
        <w:t xml:space="preserve"> </w:t>
      </w:r>
      <m:oMath>
        <m:r>
          <w:rPr>
            <w:rFonts w:ascii="Cambria Math" w:hAnsi="Cambria Math"/>
            <w:highlight w:val="green"/>
          </w:rPr>
          <m:t>→</m:t>
        </m:r>
      </m:oMath>
      <w:r w:rsidRPr="00185C12">
        <w:rPr>
          <w:rFonts w:eastAsiaTheme="minorEastAsia"/>
          <w:highlight w:val="green"/>
        </w:rPr>
        <w:t xml:space="preserve"> 1.0</w:t>
      </w:r>
    </w:p>
    <w:p w14:paraId="34860749" w14:textId="77777777" w:rsidR="00027DEC" w:rsidRPr="00027DEC" w:rsidRDefault="00331157" w:rsidP="00027DEC">
      <w:pPr>
        <w:pStyle w:val="ListParagraph"/>
        <w:numPr>
          <w:ilvl w:val="1"/>
          <w:numId w:val="5"/>
        </w:numPr>
      </w:pPr>
      <w:r w:rsidRPr="00027DEC">
        <w:rPr>
          <w:rFonts w:eastAsiaTheme="minorEastAsia"/>
        </w:rPr>
        <w:t xml:space="preserve">Set </w:t>
      </w:r>
      <w:r w:rsidRPr="00185C12">
        <w:rPr>
          <w:rFonts w:eastAsiaTheme="minorEastAsia"/>
          <w:highlight w:val="green"/>
        </w:rPr>
        <w:t xml:space="preserve">Interaction Strength </w:t>
      </w:r>
      <m:oMath>
        <m:r>
          <w:rPr>
            <w:rFonts w:ascii="Cambria Math" w:hAnsi="Cambria Math"/>
            <w:highlight w:val="green"/>
          </w:rPr>
          <m:t>→</m:t>
        </m:r>
      </m:oMath>
      <w:r w:rsidRPr="00185C12">
        <w:rPr>
          <w:rFonts w:eastAsiaTheme="minorEastAsia"/>
          <w:highlight w:val="green"/>
        </w:rPr>
        <w:t xml:space="preserve"> 1.0</w:t>
      </w:r>
    </w:p>
    <w:p w14:paraId="77CF9157" w14:textId="77777777" w:rsidR="00027DEC" w:rsidRPr="00027DEC" w:rsidRDefault="00331157" w:rsidP="00027DEC">
      <w:pPr>
        <w:pStyle w:val="ListParagraph"/>
        <w:numPr>
          <w:ilvl w:val="1"/>
          <w:numId w:val="5"/>
        </w:numPr>
      </w:pPr>
      <w:r w:rsidRPr="00027DEC">
        <w:rPr>
          <w:rFonts w:eastAsiaTheme="minorEastAsia"/>
        </w:rPr>
        <w:lastRenderedPageBreak/>
        <w:t xml:space="preserve">Set the </w:t>
      </w:r>
      <w:r w:rsidRPr="00185C12">
        <w:rPr>
          <w:rFonts w:eastAsiaTheme="minorEastAsia"/>
          <w:highlight w:val="green"/>
        </w:rPr>
        <w:t xml:space="preserve">Magnetic Field Strength, Y </w:t>
      </w:r>
      <m:oMath>
        <m:r>
          <w:rPr>
            <w:rFonts w:ascii="Cambria Math" w:hAnsi="Cambria Math"/>
            <w:highlight w:val="green"/>
          </w:rPr>
          <m:t>→</m:t>
        </m:r>
      </m:oMath>
      <w:r w:rsidRPr="00185C12">
        <w:rPr>
          <w:rFonts w:eastAsiaTheme="minorEastAsia"/>
          <w:highlight w:val="green"/>
        </w:rPr>
        <w:t xml:space="preserve"> </w:t>
      </w:r>
      <w:r w:rsidRPr="00185C12">
        <w:rPr>
          <w:rFonts w:eastAsiaTheme="minorEastAsia"/>
          <w:highlight w:val="green"/>
        </w:rPr>
        <w:t>10.0</w:t>
      </w:r>
      <w:r w:rsidRPr="00027DEC">
        <w:rPr>
          <w:rFonts w:eastAsiaTheme="minorEastAsia"/>
        </w:rPr>
        <w:t xml:space="preserve"> </w:t>
      </w:r>
    </w:p>
    <w:p w14:paraId="59F340F2" w14:textId="77777777" w:rsidR="00027DEC" w:rsidRPr="00027DEC" w:rsidRDefault="00331157" w:rsidP="00027DEC">
      <w:pPr>
        <w:pStyle w:val="ListParagraph"/>
        <w:numPr>
          <w:ilvl w:val="1"/>
          <w:numId w:val="5"/>
        </w:numPr>
      </w:pPr>
      <w:r w:rsidRPr="00027DEC">
        <w:rPr>
          <w:rFonts w:eastAsiaTheme="minorEastAsia"/>
        </w:rPr>
        <w:t>Chose “Set These Parameters” and return to the “Ising Simulations” tab.</w:t>
      </w:r>
    </w:p>
    <w:p w14:paraId="08DE9F7D" w14:textId="77777777" w:rsidR="00027DEC" w:rsidRDefault="00331157" w:rsidP="00027DEC">
      <w:pPr>
        <w:pStyle w:val="ListParagraph"/>
        <w:numPr>
          <w:ilvl w:val="1"/>
          <w:numId w:val="5"/>
        </w:numPr>
      </w:pPr>
      <w:r w:rsidRPr="00027DEC">
        <w:rPr>
          <w:rFonts w:eastAsiaTheme="minorEastAsia"/>
        </w:rPr>
        <w:t>Select “Reset” and then “Start”</w:t>
      </w:r>
      <w:r w:rsidR="008B4D12" w:rsidRPr="008B4D12">
        <w:rPr>
          <w:noProof/>
        </w:rPr>
        <w:t xml:space="preserve"> </w:t>
      </w:r>
    </w:p>
    <w:p w14:paraId="35C62828" w14:textId="3C00E1AE" w:rsidR="00C64D19" w:rsidRDefault="008B4D12" w:rsidP="00027DEC">
      <w:pPr>
        <w:pStyle w:val="ListParagraph"/>
        <w:numPr>
          <w:ilvl w:val="1"/>
          <w:numId w:val="5"/>
        </w:numPr>
      </w:pPr>
      <w:r w:rsidRPr="008B4D12">
        <w:rPr>
          <w:rFonts w:eastAsiaTheme="minorEastAsia"/>
        </w:rPr>
        <w:drawing>
          <wp:anchor distT="0" distB="0" distL="114300" distR="114300" simplePos="0" relativeHeight="251662336" behindDoc="0" locked="0" layoutInCell="1" allowOverlap="1" wp14:anchorId="286F632B" wp14:editId="425024BB">
            <wp:simplePos x="0" y="0"/>
            <wp:positionH relativeFrom="column">
              <wp:posOffset>1400175</wp:posOffset>
            </wp:positionH>
            <wp:positionV relativeFrom="paragraph">
              <wp:posOffset>801370</wp:posOffset>
            </wp:positionV>
            <wp:extent cx="2900045" cy="25520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0045" cy="2552065"/>
                    </a:xfrm>
                    <a:prstGeom prst="rect">
                      <a:avLst/>
                    </a:prstGeom>
                  </pic:spPr>
                </pic:pic>
              </a:graphicData>
            </a:graphic>
          </wp:anchor>
        </w:drawing>
      </w:r>
      <w:r>
        <w:rPr>
          <w:noProof/>
        </w:rPr>
        <w:t>Info:</w:t>
      </w:r>
      <w:r w:rsidRPr="00027DEC">
        <w:rPr>
          <w:i/>
          <w:iCs/>
        </w:rPr>
        <w:t xml:space="preserve"> We have set an external field in the y-direction and began the simulation at high temperature. The slow reduction of temperature or “</w:t>
      </w:r>
      <w:r w:rsidR="008B6D7E" w:rsidRPr="00027DEC">
        <w:rPr>
          <w:i/>
          <w:iCs/>
        </w:rPr>
        <w:t xml:space="preserve">simulated </w:t>
      </w:r>
      <w:r w:rsidRPr="00027DEC">
        <w:rPr>
          <w:i/>
          <w:iCs/>
        </w:rPr>
        <w:t>annealing”</w:t>
      </w:r>
      <w:r w:rsidR="008B6D7E" w:rsidRPr="00027DEC">
        <w:rPr>
          <w:i/>
          <w:iCs/>
        </w:rPr>
        <w:t xml:space="preserve"> eases the system in to a stable equilibrium where neighboring sites are aligned with the field and each other.</w:t>
      </w:r>
    </w:p>
    <w:sectPr w:rsidR="00C64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892"/>
    <w:multiLevelType w:val="hybridMultilevel"/>
    <w:tmpl w:val="00F27EC4"/>
    <w:lvl w:ilvl="0" w:tplc="FEB29A4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196007A"/>
    <w:multiLevelType w:val="hybridMultilevel"/>
    <w:tmpl w:val="C9F0AC90"/>
    <w:lvl w:ilvl="0" w:tplc="BD1C4FC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57520"/>
    <w:multiLevelType w:val="hybridMultilevel"/>
    <w:tmpl w:val="B99ACF96"/>
    <w:lvl w:ilvl="0" w:tplc="509003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963BE"/>
    <w:multiLevelType w:val="hybridMultilevel"/>
    <w:tmpl w:val="240C5DE4"/>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A3B1F"/>
    <w:multiLevelType w:val="hybridMultilevel"/>
    <w:tmpl w:val="3A880440"/>
    <w:lvl w:ilvl="0" w:tplc="401616A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3B4504B9"/>
    <w:multiLevelType w:val="hybridMultilevel"/>
    <w:tmpl w:val="0D56FFDC"/>
    <w:lvl w:ilvl="0" w:tplc="DE84FCD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BA4721"/>
    <w:multiLevelType w:val="hybridMultilevel"/>
    <w:tmpl w:val="D43445E4"/>
    <w:lvl w:ilvl="0" w:tplc="EAA2C8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0E43D98"/>
    <w:multiLevelType w:val="hybridMultilevel"/>
    <w:tmpl w:val="D91CC7F8"/>
    <w:lvl w:ilvl="0" w:tplc="61B014AE">
      <w:start w:val="1"/>
      <w:numFmt w:val="upperRoman"/>
      <w:lvlText w:val="%1."/>
      <w:lvlJc w:val="left"/>
      <w:pPr>
        <w:ind w:left="1350" w:hanging="720"/>
      </w:pPr>
      <w:rPr>
        <w:rFonts w:hint="default"/>
        <w:b/>
        <w:bCs/>
        <w:u w:val="none"/>
      </w:rPr>
    </w:lvl>
    <w:lvl w:ilvl="1" w:tplc="FB5A3566">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7D1DED"/>
    <w:multiLevelType w:val="hybridMultilevel"/>
    <w:tmpl w:val="2FB20FF2"/>
    <w:lvl w:ilvl="0" w:tplc="99A4D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660DA9"/>
    <w:multiLevelType w:val="hybridMultilevel"/>
    <w:tmpl w:val="5036AE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7796071">
    <w:abstractNumId w:val="7"/>
  </w:num>
  <w:num w:numId="2" w16cid:durableId="598610289">
    <w:abstractNumId w:val="2"/>
  </w:num>
  <w:num w:numId="3" w16cid:durableId="1990984884">
    <w:abstractNumId w:val="4"/>
  </w:num>
  <w:num w:numId="4" w16cid:durableId="958951698">
    <w:abstractNumId w:val="3"/>
  </w:num>
  <w:num w:numId="5" w16cid:durableId="1489977625">
    <w:abstractNumId w:val="9"/>
  </w:num>
  <w:num w:numId="6" w16cid:durableId="1924411213">
    <w:abstractNumId w:val="5"/>
  </w:num>
  <w:num w:numId="7" w16cid:durableId="518392721">
    <w:abstractNumId w:val="1"/>
  </w:num>
  <w:num w:numId="8" w16cid:durableId="1964649607">
    <w:abstractNumId w:val="6"/>
  </w:num>
  <w:num w:numId="9" w16cid:durableId="1830172006">
    <w:abstractNumId w:val="8"/>
  </w:num>
  <w:num w:numId="10" w16cid:durableId="1322126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B6C"/>
    <w:rsid w:val="00027DEC"/>
    <w:rsid w:val="0007369D"/>
    <w:rsid w:val="00075690"/>
    <w:rsid w:val="000C4ADB"/>
    <w:rsid w:val="000D55A0"/>
    <w:rsid w:val="00106578"/>
    <w:rsid w:val="00163344"/>
    <w:rsid w:val="00185C12"/>
    <w:rsid w:val="001D64DC"/>
    <w:rsid w:val="001E67DC"/>
    <w:rsid w:val="0024724A"/>
    <w:rsid w:val="002A6C1E"/>
    <w:rsid w:val="002B3034"/>
    <w:rsid w:val="002C3EF4"/>
    <w:rsid w:val="002D391F"/>
    <w:rsid w:val="00313DDC"/>
    <w:rsid w:val="00331157"/>
    <w:rsid w:val="00395731"/>
    <w:rsid w:val="003B1813"/>
    <w:rsid w:val="003C0DFC"/>
    <w:rsid w:val="00406449"/>
    <w:rsid w:val="004717AA"/>
    <w:rsid w:val="004F3866"/>
    <w:rsid w:val="0050009A"/>
    <w:rsid w:val="00525B79"/>
    <w:rsid w:val="00527949"/>
    <w:rsid w:val="00550BCB"/>
    <w:rsid w:val="005A15B1"/>
    <w:rsid w:val="005C005E"/>
    <w:rsid w:val="005C132B"/>
    <w:rsid w:val="005D685F"/>
    <w:rsid w:val="006959B1"/>
    <w:rsid w:val="007251B5"/>
    <w:rsid w:val="00797B6C"/>
    <w:rsid w:val="0087076A"/>
    <w:rsid w:val="008B4D12"/>
    <w:rsid w:val="008B6D7E"/>
    <w:rsid w:val="00910757"/>
    <w:rsid w:val="009318C0"/>
    <w:rsid w:val="00971BFD"/>
    <w:rsid w:val="009B64B1"/>
    <w:rsid w:val="009F402A"/>
    <w:rsid w:val="00A03F85"/>
    <w:rsid w:val="00A345DE"/>
    <w:rsid w:val="00A75269"/>
    <w:rsid w:val="00A84307"/>
    <w:rsid w:val="00AC6C4B"/>
    <w:rsid w:val="00AD004C"/>
    <w:rsid w:val="00AD6FAD"/>
    <w:rsid w:val="00AF1912"/>
    <w:rsid w:val="00B2421B"/>
    <w:rsid w:val="00B3248F"/>
    <w:rsid w:val="00B70785"/>
    <w:rsid w:val="00BD3DF0"/>
    <w:rsid w:val="00C10F5F"/>
    <w:rsid w:val="00C1430F"/>
    <w:rsid w:val="00C31C05"/>
    <w:rsid w:val="00C64D19"/>
    <w:rsid w:val="00CE1CD0"/>
    <w:rsid w:val="00D54F10"/>
    <w:rsid w:val="00D568D6"/>
    <w:rsid w:val="00DB1553"/>
    <w:rsid w:val="00DB4B81"/>
    <w:rsid w:val="00DE7226"/>
    <w:rsid w:val="00EB6378"/>
    <w:rsid w:val="00F06453"/>
    <w:rsid w:val="00F44FC8"/>
    <w:rsid w:val="00F64990"/>
    <w:rsid w:val="00F97386"/>
    <w:rsid w:val="00FD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E3D8"/>
  <w15:docId w15:val="{6D77A3DC-4967-4A5A-AC04-2E3DA1F8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B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B6C"/>
    <w:pPr>
      <w:ind w:left="720"/>
      <w:contextualSpacing/>
    </w:pPr>
  </w:style>
  <w:style w:type="character" w:styleId="Hyperlink">
    <w:name w:val="Hyperlink"/>
    <w:basedOn w:val="DefaultParagraphFont"/>
    <w:uiPriority w:val="99"/>
    <w:unhideWhenUsed/>
    <w:rsid w:val="00797B6C"/>
    <w:rPr>
      <w:color w:val="0563C1" w:themeColor="hyperlink"/>
      <w:u w:val="single"/>
    </w:rPr>
  </w:style>
  <w:style w:type="character" w:styleId="PlaceholderText">
    <w:name w:val="Placeholder Text"/>
    <w:basedOn w:val="DefaultParagraphFont"/>
    <w:uiPriority w:val="99"/>
    <w:semiHidden/>
    <w:rsid w:val="0050009A"/>
    <w:rPr>
      <w:color w:val="808080"/>
    </w:rPr>
  </w:style>
  <w:style w:type="character" w:styleId="UnresolvedMention">
    <w:name w:val="Unresolved Mention"/>
    <w:basedOn w:val="DefaultParagraphFont"/>
    <w:uiPriority w:val="99"/>
    <w:semiHidden/>
    <w:unhideWhenUsed/>
    <w:rsid w:val="002B3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anohub.org/tools/ucb_compnano" TargetMode="Externa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hyperlink" Target="https://www.msg.chem.iastate.edu/gamess/capabilities.html"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lammps.org" TargetMode="External"/><Relationship Id="rId11" Type="http://schemas.openxmlformats.org/officeDocument/2006/relationships/hyperlink" Target="https://nanohub.org/resources/ucb_compnano/questions"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hyperlink" Target="https://nanohub.org/resources/ucb_compnano" TargetMode="External"/><Relationship Id="rId15" Type="http://schemas.openxmlformats.org/officeDocument/2006/relationships/image" Target="media/image3.png"/><Relationship Id="rId23" Type="http://schemas.openxmlformats.org/officeDocument/2006/relationships/hyperlink" Target="https://turin.nss.udel.edu/research/tubegenonline.html" TargetMode="External"/><Relationship Id="rId28" Type="http://schemas.openxmlformats.org/officeDocument/2006/relationships/hyperlink" Target="https://nanohub.org/resources/ucb_compnano" TargetMode="External"/><Relationship Id="rId36" Type="http://schemas.openxmlformats.org/officeDocument/2006/relationships/fontTable" Target="fontTable.xml"/><Relationship Id="rId10" Type="http://schemas.openxmlformats.org/officeDocument/2006/relationships/hyperlink" Target="mailto:dstrubbe@ucmerced.edu"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eguerrero23@ucmerced.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nanohub.org/resources/ucb_compnan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2089</Words>
  <Characters>11911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Guerrero</dc:creator>
  <cp:keywords/>
  <dc:description/>
  <cp:lastModifiedBy>Enrique Guerrero</cp:lastModifiedBy>
  <cp:revision>2</cp:revision>
  <cp:lastPrinted>2022-12-07T16:04:00Z</cp:lastPrinted>
  <dcterms:created xsi:type="dcterms:W3CDTF">2022-12-07T16:04:00Z</dcterms:created>
  <dcterms:modified xsi:type="dcterms:W3CDTF">2022-12-07T16:04:00Z</dcterms:modified>
</cp:coreProperties>
</file>